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left="-178" w:leftChars="-85" w:right="-147" w:rightChars="-70"/>
        <w:rPr>
          <w:rFonts w:ascii="华文中宋" w:hAnsi="华文中宋" w:eastAsia="华文中宋"/>
          <w:b/>
          <w:color w:val="FF3200"/>
          <w:kern w:val="0"/>
          <w:sz w:val="56"/>
          <w:szCs w:val="56"/>
        </w:rPr>
      </w:pPr>
      <w:bookmarkStart w:id="1" w:name="_GoBack"/>
      <w:bookmarkEnd w:id="1"/>
    </w:p>
    <w:p>
      <w:pPr>
        <w:spacing w:line="480" w:lineRule="auto"/>
        <w:ind w:left="-178" w:leftChars="-85" w:right="-147" w:rightChars="-70"/>
        <w:jc w:val="center"/>
        <w:rPr>
          <w:rFonts w:ascii="华文中宋" w:hAnsi="华文中宋" w:eastAsia="华文中宋"/>
          <w:b/>
          <w:color w:val="FF3200"/>
          <w:kern w:val="0"/>
          <w:sz w:val="56"/>
          <w:szCs w:val="56"/>
        </w:rPr>
      </w:pPr>
      <w:r>
        <w:rPr>
          <w:rFonts w:hint="eastAsia" w:ascii="华文中宋" w:hAnsi="华文中宋" w:eastAsia="华文中宋"/>
          <w:b/>
          <w:color w:val="FF3200"/>
          <w:kern w:val="0"/>
          <w:sz w:val="56"/>
          <w:szCs w:val="56"/>
        </w:rPr>
        <w:t>上海工商职业技术学院文件</w:t>
      </w:r>
    </w:p>
    <w:p>
      <w:pPr>
        <w:adjustRightInd w:val="0"/>
        <w:snapToGrid w:val="0"/>
        <w:spacing w:line="480" w:lineRule="auto"/>
        <w:jc w:val="center"/>
        <w:rPr>
          <w:rFonts w:asciiTheme="minorEastAsia" w:hAnsiTheme="minorEastAsia"/>
          <w:bCs/>
          <w:sz w:val="30"/>
          <w:szCs w:val="30"/>
        </w:rPr>
      </w:pPr>
    </w:p>
    <w:p>
      <w:pPr>
        <w:adjustRightInd w:val="0"/>
        <w:snapToGrid w:val="0"/>
        <w:jc w:val="center"/>
        <w:rPr>
          <w:rFonts w:asciiTheme="minorEastAsia" w:hAnsiTheme="minorEastAsia"/>
          <w:bCs/>
          <w:sz w:val="30"/>
          <w:szCs w:val="30"/>
        </w:rPr>
      </w:pPr>
      <w:r>
        <w:rPr>
          <w:rFonts w:hint="eastAsia" w:asciiTheme="minorEastAsia" w:hAnsiTheme="minorEastAsia"/>
          <w:bCs/>
          <w:sz w:val="30"/>
          <w:szCs w:val="30"/>
        </w:rPr>
        <w:t>沪工商院〔2014〕17号</w:t>
      </w:r>
    </w:p>
    <w:p>
      <w:pPr>
        <w:adjustRightInd w:val="0"/>
        <w:snapToGrid w:val="0"/>
        <w:jc w:val="left"/>
        <w:rPr>
          <w:rFonts w:ascii="华文中宋" w:hAnsi="华文中宋" w:eastAsia="华文中宋" w:cs="宋体"/>
          <w:b/>
          <w:color w:val="FF0000"/>
          <w:kern w:val="0"/>
          <w:sz w:val="28"/>
          <w:szCs w:val="32"/>
          <w:u w:val="thick"/>
        </w:rPr>
      </w:pPr>
      <w:r>
        <w:rPr>
          <w:rFonts w:hint="eastAsia" w:ascii="华文中宋" w:hAnsi="华文中宋" w:eastAsia="华文中宋" w:cs="宋体"/>
          <w:b/>
          <w:color w:val="FF0000"/>
          <w:kern w:val="0"/>
          <w:sz w:val="28"/>
          <w:szCs w:val="32"/>
          <w:u w:val="thick"/>
        </w:rPr>
        <w:t xml:space="preserve">                                                                     </w:t>
      </w:r>
    </w:p>
    <w:p>
      <w:pPr>
        <w:jc w:val="center"/>
        <w:rPr>
          <w:rFonts w:ascii="华文中宋" w:hAnsi="华文中宋" w:eastAsia="华文中宋"/>
          <w:b/>
          <w:sz w:val="36"/>
          <w:szCs w:val="28"/>
        </w:rPr>
      </w:pPr>
    </w:p>
    <w:p>
      <w:pPr>
        <w:jc w:val="center"/>
        <w:rPr>
          <w:rFonts w:ascii="华文中宋" w:hAnsi="华文中宋" w:eastAsia="华文中宋"/>
          <w:b/>
          <w:sz w:val="36"/>
          <w:szCs w:val="28"/>
        </w:rPr>
      </w:pPr>
      <w:r>
        <w:rPr>
          <w:rFonts w:hint="eastAsia" w:ascii="华文中宋" w:hAnsi="华文中宋" w:eastAsia="华文中宋"/>
          <w:b/>
          <w:sz w:val="36"/>
          <w:szCs w:val="28"/>
        </w:rPr>
        <w:t>关于印发《上海工商职业技术学院</w:t>
      </w:r>
    </w:p>
    <w:p>
      <w:pPr>
        <w:jc w:val="center"/>
        <w:rPr>
          <w:rFonts w:ascii="华文中宋" w:hAnsi="华文中宋" w:eastAsia="华文中宋"/>
          <w:b/>
          <w:sz w:val="36"/>
          <w:szCs w:val="28"/>
        </w:rPr>
      </w:pPr>
      <w:r>
        <w:rPr>
          <w:rFonts w:hint="eastAsia" w:ascii="华文中宋" w:hAnsi="华文中宋" w:eastAsia="华文中宋"/>
          <w:b/>
          <w:sz w:val="36"/>
          <w:szCs w:val="28"/>
        </w:rPr>
        <w:t>院务（信息）公开实施细则》的通知</w:t>
      </w:r>
    </w:p>
    <w:p>
      <w:pPr>
        <w:rPr>
          <w:sz w:val="28"/>
          <w:szCs w:val="28"/>
        </w:rPr>
      </w:pPr>
    </w:p>
    <w:p>
      <w:pPr>
        <w:rPr>
          <w:sz w:val="28"/>
          <w:szCs w:val="28"/>
        </w:rPr>
      </w:pPr>
      <w:r>
        <w:rPr>
          <w:rFonts w:hint="eastAsia"/>
          <w:sz w:val="28"/>
          <w:szCs w:val="28"/>
        </w:rPr>
        <w:t>各系、各部门：</w:t>
      </w:r>
    </w:p>
    <w:p>
      <w:pPr>
        <w:ind w:firstLine="540"/>
        <w:rPr>
          <w:sz w:val="28"/>
          <w:szCs w:val="28"/>
        </w:rPr>
      </w:pPr>
      <w:r>
        <w:rPr>
          <w:rFonts w:hint="eastAsia"/>
          <w:sz w:val="28"/>
          <w:szCs w:val="28"/>
        </w:rPr>
        <w:t>《上海工商职业技术学院院务（信息）公开实施细则》经院长办公会讨论、通过，现予以印发给你们。请组织教职员工学习、贯彻实施。</w:t>
      </w:r>
    </w:p>
    <w:p>
      <w:pPr>
        <w:ind w:firstLine="540"/>
        <w:rPr>
          <w:sz w:val="28"/>
          <w:szCs w:val="28"/>
        </w:rPr>
      </w:pPr>
      <w:r>
        <w:rPr>
          <w:rFonts w:hint="eastAsia"/>
          <w:sz w:val="28"/>
          <w:szCs w:val="28"/>
        </w:rPr>
        <w:t>特此通知</w:t>
      </w:r>
    </w:p>
    <w:p>
      <w:pPr>
        <w:ind w:firstLine="540"/>
        <w:rPr>
          <w:sz w:val="28"/>
          <w:szCs w:val="28"/>
        </w:rPr>
      </w:pPr>
      <w:r>
        <w:rPr>
          <w:rFonts w:hint="eastAsia"/>
          <w:sz w:val="28"/>
          <w:szCs w:val="28"/>
        </w:rPr>
        <w:t>附件：上海工商职业技术学院院务（信息）公开实施细则</w:t>
      </w:r>
    </w:p>
    <w:p>
      <w:pPr>
        <w:ind w:firstLine="540"/>
        <w:rPr>
          <w:sz w:val="28"/>
          <w:szCs w:val="28"/>
        </w:rPr>
      </w:pPr>
    </w:p>
    <w:p>
      <w:pPr>
        <w:ind w:firstLine="5297" w:firstLineChars="1892"/>
        <w:rPr>
          <w:sz w:val="28"/>
          <w:szCs w:val="28"/>
        </w:rPr>
      </w:pPr>
      <w:r>
        <w:rPr>
          <w:rFonts w:hint="eastAsia"/>
          <w:sz w:val="28"/>
          <w:szCs w:val="28"/>
        </w:rPr>
        <w:t>上海工商职业技术学院</w:t>
      </w:r>
    </w:p>
    <w:p>
      <w:pPr>
        <w:ind w:firstLine="540"/>
        <w:rPr>
          <w:sz w:val="28"/>
          <w:szCs w:val="28"/>
        </w:rPr>
      </w:pPr>
      <w:r>
        <w:rPr>
          <w:rFonts w:hint="eastAsia"/>
          <w:sz w:val="28"/>
          <w:szCs w:val="28"/>
        </w:rPr>
        <w:t xml:space="preserve">                                      2014年9月5日</w:t>
      </w:r>
    </w:p>
    <w:p>
      <w:pPr>
        <w:adjustRightInd w:val="0"/>
        <w:snapToGrid w:val="0"/>
        <w:spacing w:line="480" w:lineRule="auto"/>
        <w:jc w:val="center"/>
        <w:rPr>
          <w:rFonts w:ascii="宋体" w:hAnsi="宋体" w:cs="仿宋"/>
          <w:sz w:val="28"/>
          <w:szCs w:val="28"/>
        </w:rPr>
      </w:pPr>
    </w:p>
    <w:p>
      <w:pPr>
        <w:adjustRightInd w:val="0"/>
        <w:snapToGrid w:val="0"/>
        <w:spacing w:line="480" w:lineRule="auto"/>
        <w:jc w:val="center"/>
        <w:rPr>
          <w:rFonts w:ascii="宋体" w:hAnsi="宋体" w:cs="仿宋"/>
          <w:sz w:val="28"/>
          <w:szCs w:val="28"/>
        </w:rPr>
      </w:pPr>
    </w:p>
    <w:p>
      <w:pPr>
        <w:adjustRightInd w:val="0"/>
        <w:snapToGrid w:val="0"/>
        <w:spacing w:line="500" w:lineRule="exact"/>
        <w:ind w:right="420"/>
        <w:rPr>
          <w:rFonts w:asciiTheme="majorEastAsia" w:hAnsiTheme="majorEastAsia" w:eastAsiaTheme="majorEastAsia"/>
          <w:b/>
          <w:sz w:val="32"/>
          <w:szCs w:val="28"/>
        </w:rPr>
      </w:pPr>
    </w:p>
    <w:p>
      <w:pPr>
        <w:adjustRightInd w:val="0"/>
        <w:snapToGrid w:val="0"/>
        <w:spacing w:line="520" w:lineRule="exact"/>
        <w:ind w:right="630"/>
        <w:jc w:val="right"/>
        <w:rPr>
          <w:rFonts w:cs="仿宋" w:asciiTheme="majorEastAsia" w:hAnsiTheme="majorEastAsia" w:eastAsiaTheme="majorEastAsia"/>
          <w:sz w:val="28"/>
          <w:szCs w:val="28"/>
        </w:rPr>
      </w:pPr>
      <w:r>
        <w:rPr>
          <w:rFonts w:asciiTheme="majorEastAsia" w:hAnsiTheme="majorEastAsia" w:eastAsiaTheme="majorEastAsia"/>
        </w:rPr>
        <mc:AlternateContent>
          <mc:Choice Requires="wps">
            <w:drawing>
              <wp:anchor distT="0" distB="0" distL="114300" distR="114300" simplePos="0" relativeHeight="251660288" behindDoc="0" locked="0" layoutInCell="1" allowOverlap="1">
                <wp:simplePos x="0" y="0"/>
                <wp:positionH relativeFrom="column">
                  <wp:posOffset>42545</wp:posOffset>
                </wp:positionH>
                <wp:positionV relativeFrom="paragraph">
                  <wp:posOffset>389255</wp:posOffset>
                </wp:positionV>
                <wp:extent cx="5558155" cy="0"/>
                <wp:effectExtent l="0" t="10795" r="4445" b="177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558155" cy="0"/>
                        </a:xfrm>
                        <a:prstGeom prst="line">
                          <a:avLst/>
                        </a:prstGeom>
                        <a:noFill/>
                        <a:ln w="22225">
                          <a:solidFill>
                            <a:srgbClr val="000000"/>
                          </a:solidFill>
                          <a:round/>
                        </a:ln>
                        <a:effectLst/>
                      </wps:spPr>
                      <wps:bodyPr/>
                    </wps:wsp>
                  </a:graphicData>
                </a:graphic>
              </wp:anchor>
            </w:drawing>
          </mc:Choice>
          <mc:Fallback>
            <w:pict>
              <v:line id="_x0000_s1026" o:spid="_x0000_s1026" o:spt="20" style="position:absolute;left:0pt;margin-left:3.35pt;margin-top:30.65pt;height:0pt;width:437.65pt;z-index:251660288;mso-width-relative:page;mso-height-relative:page;" filled="f" stroked="t" coordsize="21600,21600" o:gfxdata="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dKDOdYA&#10;AAAHAQAADwAAAAAAAAABACAAAAAiAAAAZHJzL2Rvd25yZXYueG1sUEsBAhQAFAAAAAgAh07iQNm0&#10;FKLoAQAAuQMAAA4AAAAAAAAAAQAgAAAAJQEAAGRycy9lMm9Eb2MueG1sUEsFBgAAAAAGAAYAWQEA&#10;AH8FAAAAAA==&#10;">
                <v:fill on="f" focussize="0,0"/>
                <v:stroke weight="1.75pt" color="#000000" joinstyle="round"/>
                <v:imagedata o:title=""/>
                <o:lock v:ext="edit" aspectratio="f"/>
              </v:line>
            </w:pict>
          </mc:Fallback>
        </mc:AlternateContent>
      </w:r>
      <w:r>
        <w:rPr>
          <w:rFonts w:asciiTheme="majorEastAsia" w:hAnsiTheme="majorEastAsia" w:eastAsiaTheme="majorEastAsia"/>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-2540</wp:posOffset>
                </wp:positionV>
                <wp:extent cx="5558155" cy="9525"/>
                <wp:effectExtent l="0" t="0" r="444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558155" cy="9525"/>
                        </a:xfrm>
                        <a:prstGeom prst="line">
                          <a:avLst/>
                        </a:prstGeom>
                        <a:noFill/>
                        <a:ln w="22225">
                          <a:solidFill>
                            <a:srgbClr val="000000"/>
                          </a:solidFill>
                          <a:round/>
                        </a:ln>
                        <a:effectLst/>
                      </wps:spPr>
                      <wps:bodyPr/>
                    </wps:wsp>
                  </a:graphicData>
                </a:graphic>
              </wp:anchor>
            </w:drawing>
          </mc:Choice>
          <mc:Fallback>
            <w:pict>
              <v:line id="_x0000_s1026" o:spid="_x0000_s1026" o:spt="20" style="position:absolute;left:0pt;flip:y;margin-left:3.7pt;margin-top:-0.2pt;height:0.75pt;width:437.65pt;z-index:251659264;mso-width-relative:page;mso-height-relative:page;" filled="f" stroked="t" coordsize="21600,21600" o:gfxdata="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VF&#10;/ljSAAAABQEAAA8AAAAAAAAAAQAgAAAAIgAAAGRycy9kb3ducmV2LnhtbFBLAQIUABQAAAAIAIdO&#10;4kB0FPlB8AEAAMYDAAAOAAAAAAAAAAEAIAAAACEBAABkcnMvZTJvRG9jLnhtbFBLBQYAAAAABgAG&#10;AFkBAACDBQAAAAA=&#10;">
                <v:fill on="f" focussize="0,0"/>
                <v:stroke weight="1.75pt" color="#000000" joinstyle="round"/>
                <v:imagedata o:title=""/>
                <o:lock v:ext="edit" aspectratio="f"/>
              </v:line>
            </w:pict>
          </mc:Fallback>
        </mc:AlternateContent>
      </w:r>
      <w:r>
        <w:rPr>
          <w:rFonts w:hint="eastAsia" w:cs="仿宋" w:asciiTheme="majorEastAsia" w:hAnsiTheme="majorEastAsia" w:eastAsiaTheme="majorEastAsia"/>
          <w:sz w:val="28"/>
          <w:szCs w:val="28"/>
        </w:rPr>
        <w:t>上海工商职业技术学院党政办公室      2014年 9月10日印发</w:t>
      </w:r>
    </w:p>
    <w:p>
      <w:pPr>
        <w:spacing w:line="500" w:lineRule="exact"/>
        <w:jc w:val="center"/>
        <w:rPr>
          <w:b/>
          <w:sz w:val="36"/>
          <w:szCs w:val="36"/>
        </w:rPr>
      </w:pPr>
      <w:bookmarkStart w:id="0" w:name="_Toc407608143"/>
      <w:r>
        <w:rPr>
          <w:rFonts w:hint="eastAsia"/>
          <w:b/>
          <w:sz w:val="36"/>
          <w:szCs w:val="36"/>
        </w:rPr>
        <w:t>上海工商职业技术学院</w:t>
      </w:r>
    </w:p>
    <w:p>
      <w:pPr>
        <w:spacing w:line="500" w:lineRule="exact"/>
        <w:jc w:val="center"/>
        <w:rPr>
          <w:b/>
          <w:sz w:val="36"/>
          <w:szCs w:val="36"/>
        </w:rPr>
      </w:pPr>
      <w:r>
        <w:rPr>
          <w:rFonts w:hint="eastAsia"/>
          <w:b/>
          <w:sz w:val="36"/>
          <w:szCs w:val="36"/>
        </w:rPr>
        <w:t>院务（信息）公开</w:t>
      </w:r>
      <w:bookmarkEnd w:id="0"/>
      <w:r>
        <w:rPr>
          <w:rFonts w:hint="eastAsia"/>
          <w:b/>
          <w:sz w:val="36"/>
          <w:szCs w:val="36"/>
        </w:rPr>
        <w:t>实施细则</w:t>
      </w:r>
    </w:p>
    <w:p>
      <w:pPr>
        <w:pStyle w:val="16"/>
        <w:adjustRightInd w:val="0"/>
        <w:snapToGrid w:val="0"/>
        <w:spacing w:line="500" w:lineRule="exact"/>
        <w:ind w:firstLine="0" w:firstLineChars="0"/>
        <w:jc w:val="center"/>
        <w:rPr>
          <w:rFonts w:ascii="宋体" w:hAnsi="宋体"/>
          <w:b/>
          <w:sz w:val="28"/>
          <w:szCs w:val="28"/>
        </w:rPr>
      </w:pPr>
    </w:p>
    <w:p>
      <w:pPr>
        <w:pStyle w:val="16"/>
        <w:numPr>
          <w:ilvl w:val="0"/>
          <w:numId w:val="1"/>
        </w:numPr>
        <w:adjustRightInd w:val="0"/>
        <w:snapToGrid w:val="0"/>
        <w:spacing w:line="500" w:lineRule="exact"/>
        <w:ind w:firstLineChars="0"/>
        <w:jc w:val="center"/>
        <w:rPr>
          <w:rFonts w:ascii="宋体" w:hAnsi="宋体"/>
          <w:b/>
          <w:sz w:val="28"/>
          <w:szCs w:val="28"/>
        </w:rPr>
      </w:pPr>
      <w:r>
        <w:rPr>
          <w:rFonts w:hint="eastAsia" w:ascii="宋体" w:hAnsi="宋体"/>
          <w:b/>
          <w:sz w:val="28"/>
          <w:szCs w:val="28"/>
        </w:rPr>
        <w:t>总则</w:t>
      </w:r>
    </w:p>
    <w:p>
      <w:pPr>
        <w:adjustRightInd w:val="0"/>
        <w:snapToGrid w:val="0"/>
        <w:spacing w:line="500" w:lineRule="exact"/>
        <w:rPr>
          <w:rFonts w:ascii="宋体"/>
          <w:b/>
          <w:sz w:val="28"/>
          <w:szCs w:val="28"/>
        </w:rPr>
      </w:pP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第一条</w:t>
      </w:r>
      <w:r>
        <w:rPr>
          <w:rFonts w:hint="eastAsia" w:ascii="宋体" w:hAnsi="宋体" w:cs="宋体"/>
          <w:kern w:val="0"/>
          <w:sz w:val="28"/>
          <w:szCs w:val="28"/>
        </w:rPr>
        <w:t>为了保障学院师生员工和其他组织、个人依法获取我院院务（信息），提高学院工作的透明度，规范学院院务（信息）公开工作，根据《中华人民共和国高等教育法》、《中华人民共和国政府信息公开条例》和《高等学校信息公开办法》等的相关规定，结合学院工作实际，特制定本实施细则。</w:t>
      </w: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第二条</w:t>
      </w:r>
      <w:r>
        <w:rPr>
          <w:rFonts w:hint="eastAsia" w:ascii="宋体" w:hAnsi="宋体" w:cs="宋体"/>
          <w:kern w:val="0"/>
          <w:sz w:val="28"/>
          <w:szCs w:val="28"/>
        </w:rPr>
        <w:t>本细则所称院务（信息），是指学院在开展办学活动和提供社会公共服务的过程中产生、制作、获取的以一定形式记录、保存的信息，应当按照有关法律法规和本细则的规定公开。</w:t>
      </w: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第三条</w:t>
      </w:r>
      <w:r>
        <w:rPr>
          <w:rFonts w:hint="eastAsia" w:ascii="宋体" w:hAnsi="宋体" w:cs="宋体"/>
          <w:kern w:val="0"/>
          <w:sz w:val="28"/>
          <w:szCs w:val="28"/>
        </w:rPr>
        <w:t>　由院长、书记全面领导学院的院务（信息）公开工作；党政办公室是学院院务（信息）公开工作的主管部门，负责推进、指导、监督、协调全校的院务（信息）公开工作；各部门参与；信息化办公室负责技术支持。</w:t>
      </w: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第四条</w:t>
      </w:r>
      <w:r>
        <w:rPr>
          <w:rFonts w:hint="eastAsia" w:ascii="宋体" w:hAnsi="宋体" w:cs="宋体"/>
          <w:kern w:val="0"/>
          <w:sz w:val="28"/>
          <w:szCs w:val="28"/>
        </w:rPr>
        <w:t>　学院院务（信息）公开应当遵循公正、公平、便民的原则，建立院务（信息）公开工作机制和各项工作制度。</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学院各级单位公开的信息，不得危及国家安全、公共安全、经济安全、社会稳定和学院安全稳定。</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第五条</w:t>
      </w:r>
      <w:r>
        <w:rPr>
          <w:rFonts w:hint="eastAsia" w:ascii="宋体" w:hAnsi="宋体" w:cs="宋体"/>
          <w:kern w:val="0"/>
          <w:sz w:val="28"/>
          <w:szCs w:val="28"/>
        </w:rPr>
        <w:t>党政办公室负责学院院务（信息）发布保密审查机制，明确审查的程序和责任。公开院务（信息）前，应当依照法律法规和国家其他有关规定对拟公开的院务（信息）进行保密审查。</w:t>
      </w: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第六条</w:t>
      </w:r>
      <w:r>
        <w:rPr>
          <w:rFonts w:hint="eastAsia" w:ascii="宋体" w:hAnsi="宋体" w:cs="宋体"/>
          <w:kern w:val="0"/>
          <w:sz w:val="28"/>
          <w:szCs w:val="28"/>
        </w:rPr>
        <w:t>学院任何单位和个人发现不利于校园和社会稳定的虚假信息或者不完整信息的，在其职责范围内及时发布准确信息予以澄清。</w:t>
      </w:r>
    </w:p>
    <w:p>
      <w:pPr>
        <w:widowControl/>
        <w:shd w:val="clear" w:color="auto" w:fill="FFFFFF"/>
        <w:adjustRightInd w:val="0"/>
        <w:snapToGrid w:val="0"/>
        <w:spacing w:line="500" w:lineRule="exact"/>
        <w:ind w:firstLine="560" w:firstLineChars="200"/>
        <w:jc w:val="left"/>
        <w:rPr>
          <w:rFonts w:ascii="宋体" w:cs="宋体"/>
          <w:kern w:val="0"/>
          <w:sz w:val="28"/>
          <w:szCs w:val="28"/>
        </w:rPr>
      </w:pPr>
    </w:p>
    <w:p>
      <w:pPr>
        <w:pStyle w:val="16"/>
        <w:adjustRightInd w:val="0"/>
        <w:snapToGrid w:val="0"/>
        <w:spacing w:line="500" w:lineRule="exact"/>
        <w:ind w:firstLine="562"/>
        <w:jc w:val="center"/>
        <w:rPr>
          <w:rFonts w:ascii="宋体"/>
          <w:b/>
          <w:sz w:val="28"/>
          <w:szCs w:val="28"/>
        </w:rPr>
      </w:pPr>
      <w:r>
        <w:rPr>
          <w:rFonts w:hint="eastAsia" w:ascii="宋体" w:hAnsi="宋体"/>
          <w:b/>
          <w:sz w:val="28"/>
          <w:szCs w:val="28"/>
        </w:rPr>
        <w:t>第二章  公开的范围</w:t>
      </w:r>
    </w:p>
    <w:p>
      <w:pPr>
        <w:widowControl/>
        <w:shd w:val="clear" w:color="auto" w:fill="FFFFFF"/>
        <w:adjustRightInd w:val="0"/>
        <w:snapToGrid w:val="0"/>
        <w:spacing w:line="500" w:lineRule="exact"/>
        <w:ind w:firstLine="562" w:firstLineChars="200"/>
        <w:jc w:val="left"/>
        <w:rPr>
          <w:rFonts w:ascii="宋体" w:hAnsi="宋体" w:cs="宋体"/>
          <w:b/>
          <w:kern w:val="0"/>
          <w:sz w:val="28"/>
          <w:szCs w:val="28"/>
        </w:rPr>
      </w:pP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第七条</w:t>
      </w:r>
      <w:r>
        <w:rPr>
          <w:rFonts w:hint="eastAsia" w:ascii="宋体" w:hAnsi="宋体" w:cs="宋体"/>
          <w:kern w:val="0"/>
          <w:sz w:val="28"/>
          <w:szCs w:val="28"/>
        </w:rPr>
        <w:t>学院各职能部门应当主动公开以下信息：</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（一）学院名称、办学地点、办学性质、办学宗旨、办学层次、办学规模，内部管理体制、机构设置、学院领导等基本情况；</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（二）学院章程以及学院制定的各项规章制度；</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（三）学院发展规划和年度工作计划；</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（四）各层次、类型学历教育招生、考试与录取规定，学籍管理、学位评定办法，学生申诉途径与处理程序；毕业生就业指导与服务情况等；</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（五）学科与专业设置，重点学科建设情况，课程与教学计划，实验室、仪器设备配置与图书藏量，教学与科研成果评选，国家组织的教学评估结果等；</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（六）学生奖学金、助学金、学费减免、助学贷款与勤工俭学的申请与管理规定等；</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（七）教师和其他专业技术人员数量、专业技术职务等级，岗位设置管理与聘用办法，教师争议解决办法等；</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（八）收费的项目、依据、标准与投诉方式；</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（九）财务、资产与财务管理制度，学校经费来源、年度经费预算决算方案，财政性资金、受捐赠财产的使用与管理情况，仪器设备、图书、药品等物资设备采购和重大基建工程的招投标；</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（十）自然灾害等突发事件的应急处理预案、处置情况，涉及学院的重大事件的调查和处理情况；</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（十一）对外交流与中外合作办学情况，外籍教师与留学生的管理制度；</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（十二）法律、法规和规章规定需要公开的其他事项。</w:t>
      </w: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第八条</w:t>
      </w:r>
      <w:r>
        <w:rPr>
          <w:rFonts w:hint="eastAsia" w:ascii="宋体" w:hAnsi="宋体" w:cs="宋体"/>
          <w:kern w:val="0"/>
          <w:sz w:val="28"/>
          <w:szCs w:val="28"/>
        </w:rPr>
        <w:t>　除第七条规定需要公开的院务（信息）外，学院应当明确其他需要主动公开的院务（信息）内容与公开范围。</w:t>
      </w: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第九条</w:t>
      </w:r>
      <w:r>
        <w:rPr>
          <w:rFonts w:hint="eastAsia" w:ascii="宋体" w:hAnsi="宋体" w:cs="宋体"/>
          <w:kern w:val="0"/>
          <w:sz w:val="28"/>
          <w:szCs w:val="28"/>
        </w:rPr>
        <w:t>　除学院已公开的院务（信息）外，公民、法人和其他组织还可以根据自身学习、科研、工作等特殊需要，以书面形式（包括数据电文形式）向学院申请获取相关信息。</w:t>
      </w:r>
    </w:p>
    <w:p>
      <w:pPr>
        <w:widowControl/>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第十条</w:t>
      </w:r>
      <w:r>
        <w:rPr>
          <w:rFonts w:hint="eastAsia" w:ascii="宋体" w:hAnsi="宋体" w:cs="宋体"/>
          <w:kern w:val="0"/>
          <w:sz w:val="28"/>
          <w:szCs w:val="28"/>
        </w:rPr>
        <w:t>　学院对下列信息不予公开：</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（一）涉及国家秘密的；</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（二）涉及商业秘密的；</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（三）涉及个人隐私的；</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（四）法律、法规和规章以及学院规定的不予公开的其他信息。</w:t>
      </w:r>
    </w:p>
    <w:p>
      <w:pPr>
        <w:widowControl/>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其中第（二）项、第（三）项所列的信息，经权利人同意公开或者学院认为不公开可能对公共利益造成重大影响的，可以予以公开。</w:t>
      </w:r>
    </w:p>
    <w:p>
      <w:pPr>
        <w:widowControl/>
        <w:shd w:val="clear" w:color="auto" w:fill="FFFFFF"/>
        <w:adjustRightInd w:val="0"/>
        <w:snapToGrid w:val="0"/>
        <w:spacing w:line="500" w:lineRule="exact"/>
        <w:ind w:firstLine="560" w:firstLineChars="200"/>
        <w:jc w:val="left"/>
        <w:rPr>
          <w:rFonts w:ascii="宋体" w:cs="宋体"/>
          <w:kern w:val="0"/>
          <w:sz w:val="28"/>
          <w:szCs w:val="28"/>
        </w:rPr>
      </w:pPr>
    </w:p>
    <w:p>
      <w:pPr>
        <w:pStyle w:val="16"/>
        <w:adjustRightInd w:val="0"/>
        <w:snapToGrid w:val="0"/>
        <w:spacing w:line="500" w:lineRule="exact"/>
        <w:ind w:firstLine="562"/>
        <w:jc w:val="center"/>
        <w:rPr>
          <w:rFonts w:ascii="宋体"/>
          <w:b/>
          <w:sz w:val="28"/>
          <w:szCs w:val="28"/>
        </w:rPr>
      </w:pPr>
      <w:r>
        <w:rPr>
          <w:rFonts w:hint="eastAsia" w:ascii="宋体" w:hAnsi="宋体"/>
          <w:b/>
          <w:sz w:val="28"/>
          <w:szCs w:val="28"/>
        </w:rPr>
        <w:t>第三章  公开的途径和要求</w:t>
      </w:r>
    </w:p>
    <w:p>
      <w:pPr>
        <w:shd w:val="clear" w:color="auto" w:fill="FFFFFF"/>
        <w:adjustRightInd w:val="0"/>
        <w:snapToGrid w:val="0"/>
        <w:spacing w:line="500" w:lineRule="exact"/>
        <w:ind w:firstLine="562" w:firstLineChars="200"/>
        <w:jc w:val="left"/>
        <w:rPr>
          <w:rFonts w:ascii="宋体" w:hAnsi="宋体" w:cs="宋体"/>
          <w:b/>
          <w:kern w:val="0"/>
          <w:sz w:val="28"/>
          <w:szCs w:val="28"/>
        </w:rPr>
      </w:pP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第十一条</w:t>
      </w:r>
      <w:r>
        <w:rPr>
          <w:rFonts w:hint="eastAsia" w:ascii="宋体" w:hAnsi="宋体" w:cs="宋体"/>
          <w:kern w:val="0"/>
          <w:sz w:val="28"/>
          <w:szCs w:val="28"/>
        </w:rPr>
        <w:t>　党政办公室为院务（信息）公开工作机构，负责学院院务（信息）公开的日常工作，具体职责是：</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（一）具体承办本院院务（信息）公开事宜；</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（二）管理、协调、维护和更新本院院务（信息）公开的信息；</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（三）统一受理、协调处理、统一答复向本院提出的院务（信息）公开申请；</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（四）组织编制本院的院务（信息）公开指南、信息公开目录和信息公开工作年度报告；</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（五）协调对拟公开的学院院务（信息）进行保密审查；</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（六）组织学院院务（信息）公开工作的内部评议；</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（七）推进、监督学院内设组织机构的院务（信息）公开；</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（八）承担与本院院务（信息）公开有关的其他职责。</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学院应当向社会公开院务（信息）公开工作机构的名称、负责人、办公地址、办公时间、联系电话、传真号码、电子邮箱等。</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第十二条</w:t>
      </w:r>
      <w:r>
        <w:rPr>
          <w:rFonts w:hint="eastAsia" w:ascii="宋体" w:hAnsi="宋体" w:cs="宋体"/>
          <w:kern w:val="0"/>
          <w:sz w:val="28"/>
          <w:szCs w:val="28"/>
        </w:rPr>
        <w:t>　对依照本细则规定需要公开的院务（信息），学院根据实际情况，通过学院网站、校报校刊、校内广播等校内媒体和报刊、杂志、广播、电视等校外媒体以及新闻发布会、年鉴、会议纪要或者简报等方式予以公开；并根据需要设置公共查阅室、资料索取点、信息公告栏或者电子屏幕等场所、设施。</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第十三条</w:t>
      </w:r>
      <w:r>
        <w:rPr>
          <w:rFonts w:hint="eastAsia" w:ascii="宋体" w:hAnsi="宋体" w:cs="宋体"/>
          <w:kern w:val="0"/>
          <w:sz w:val="28"/>
          <w:szCs w:val="28"/>
        </w:rPr>
        <w:t>　学院在学院网站开设院务（信息）公开意见箱，设置院务（信息）公开专栏、建立有效链接，及时更新院务（信息），并通过信息公开意见箱听取对学院院务（信息）公开工作的意见和建议。</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第十四条</w:t>
      </w:r>
      <w:r>
        <w:rPr>
          <w:rFonts w:hint="eastAsia" w:ascii="宋体" w:hAnsi="宋体" w:cs="宋体"/>
          <w:kern w:val="0"/>
          <w:sz w:val="28"/>
          <w:szCs w:val="28"/>
        </w:rPr>
        <w:t>　党政办公室负责编制院务（信息）公开指南和目录，并及时公布和更新。院务（信息）公开指南应公开工作机构，信息的分类、编排体系和获取方式，依申请公开的处理和答复流程等。院务（信息）公开目录应当包括信息的索引、名称、生成日期、责任部门等内容。</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第十五条</w:t>
      </w:r>
      <w:r>
        <w:rPr>
          <w:rFonts w:hint="eastAsia" w:ascii="宋体" w:hAnsi="宋体" w:cs="宋体"/>
          <w:kern w:val="0"/>
          <w:sz w:val="28"/>
          <w:szCs w:val="28"/>
        </w:rPr>
        <w:t>　学院将学院基本的规章制度汇编成册，置于学院有关内部组织机构的办公地点、档案馆、图书馆等场所，提供免费查阅。</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学院将学生管理制度、教师管理制度分别汇编成册，在新生和新聘教师报到时发放。</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第十六条</w:t>
      </w:r>
      <w:r>
        <w:rPr>
          <w:rFonts w:hint="eastAsia" w:ascii="宋体" w:hAnsi="宋体" w:cs="宋体"/>
          <w:kern w:val="0"/>
          <w:sz w:val="28"/>
          <w:szCs w:val="28"/>
        </w:rPr>
        <w:t>　学院各部门完成或者获取信息后，应当及时明确该院务（信息）是否公开。确定公开的，应当明确公开的受众；确定不予公开的，应当说明理由；难以确定是否公开的，应当报送党政办公室及时报请上海市教育委员会审定。</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第十七条</w:t>
      </w:r>
      <w:r>
        <w:rPr>
          <w:rFonts w:hint="eastAsia" w:ascii="宋体" w:hAnsi="宋体" w:cs="宋体"/>
          <w:kern w:val="0"/>
          <w:sz w:val="28"/>
          <w:szCs w:val="28"/>
        </w:rPr>
        <w:t>　属于主动公开的院务（信息），应当自该院务（信息）制作完成或者获取之日起</w:t>
      </w:r>
      <w:r>
        <w:rPr>
          <w:rFonts w:ascii="宋体" w:hAnsi="宋体" w:cs="宋体"/>
          <w:kern w:val="0"/>
          <w:sz w:val="28"/>
          <w:szCs w:val="28"/>
        </w:rPr>
        <w:t>20</w:t>
      </w:r>
      <w:r>
        <w:rPr>
          <w:rFonts w:hint="eastAsia" w:ascii="宋体" w:hAnsi="宋体" w:cs="宋体"/>
          <w:kern w:val="0"/>
          <w:sz w:val="28"/>
          <w:szCs w:val="28"/>
        </w:rPr>
        <w:t>个工作日内予以公开。</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学院决策事项需要征求教师、学生和学院其他工作人员意见的，经教代会（工代会）审议通过；公开征求意见的期限不得少于</w:t>
      </w:r>
      <w:r>
        <w:rPr>
          <w:rFonts w:ascii="宋体" w:hAnsi="宋体" w:cs="宋体"/>
          <w:kern w:val="0"/>
          <w:sz w:val="28"/>
          <w:szCs w:val="28"/>
        </w:rPr>
        <w:t>10</w:t>
      </w:r>
      <w:r>
        <w:rPr>
          <w:rFonts w:hint="eastAsia" w:ascii="宋体" w:hAnsi="宋体" w:cs="宋体"/>
          <w:kern w:val="0"/>
          <w:sz w:val="28"/>
          <w:szCs w:val="28"/>
        </w:rPr>
        <w:t>个工作日。</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法律法规对院务（信息）内容公开的期限另有规定的，从其规定。</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第十八条</w:t>
      </w:r>
      <w:r>
        <w:rPr>
          <w:rFonts w:hint="eastAsia" w:ascii="宋体" w:hAnsi="宋体" w:cs="宋体"/>
          <w:kern w:val="0"/>
          <w:sz w:val="28"/>
          <w:szCs w:val="28"/>
        </w:rPr>
        <w:t>　对申请人的信息公开申请，学院根据下列情况在</w:t>
      </w:r>
      <w:r>
        <w:rPr>
          <w:rFonts w:ascii="宋体" w:hAnsi="宋体" w:cs="宋体"/>
          <w:kern w:val="0"/>
          <w:sz w:val="28"/>
          <w:szCs w:val="28"/>
        </w:rPr>
        <w:t>15</w:t>
      </w:r>
      <w:r>
        <w:rPr>
          <w:rFonts w:hint="eastAsia" w:ascii="宋体" w:hAnsi="宋体" w:cs="宋体"/>
          <w:kern w:val="0"/>
          <w:sz w:val="28"/>
          <w:szCs w:val="28"/>
        </w:rPr>
        <w:t>个工作日内分别作出答复：</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（一）属于公开范围的，应当告知申请人获取该信息的方式和途径；</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（二）属于不予公开范围的，应当告知申请人并说明理由；</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（三）不属于本院职责范围的或者该信息不存在的，应当告知申请人，对能够确定该信息的职责单位的，应当告知申请人该单位的名称、联系方式；</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（四）申请公开的信息含有不应当公开的内容但能够区分处理的，应当告知申请人并提供可以公开的信息内容，对不予公开的部分，应当说明理由；</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（五）申请内容不明确的，应当告知申请人作出更改、补充；申请人逾期未补正的，视为放弃本次申请；</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（六）同一申请人无正当理由重复向学院申请公开同一信息，学院已经作出答复且该信息未发生变化的，应当告知申请人，不再重复处理；</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（七）学院根据实际情况作出的其他答复。</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第十九条</w:t>
      </w:r>
      <w:r>
        <w:rPr>
          <w:rFonts w:hint="eastAsia" w:ascii="宋体" w:hAnsi="宋体" w:cs="宋体"/>
          <w:kern w:val="0"/>
          <w:sz w:val="28"/>
          <w:szCs w:val="28"/>
        </w:rPr>
        <w:t>　申请人向学院申请公开信息的，应当出示有效身份证件或者证明文件。</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申请人有证据证明学院提供的与自身相关的信息记录不准确的，有权要求学院予以更正；学院无权更正的，应当转送有权更正的单位处理，并告知申请人。</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第二十条</w:t>
      </w:r>
      <w:r>
        <w:rPr>
          <w:rFonts w:hint="eastAsia" w:ascii="宋体" w:hAnsi="宋体" w:cs="宋体"/>
          <w:kern w:val="0"/>
          <w:sz w:val="28"/>
          <w:szCs w:val="28"/>
        </w:rPr>
        <w:t>　学院向申请人提供信息，可以按照上海市物价局和财政局规定的收费标准收取检索、复制、邮寄等费用。收取的费用应当纳入学院财务管理。</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学院不得通过其他组织、个人以有偿方式提供信息。</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第二十一条</w:t>
      </w:r>
      <w:r>
        <w:rPr>
          <w:rFonts w:hint="eastAsia" w:ascii="宋体" w:hAnsi="宋体" w:cs="宋体"/>
          <w:kern w:val="0"/>
          <w:sz w:val="28"/>
          <w:szCs w:val="28"/>
        </w:rPr>
        <w:t>　学院应当健全内部组织机构的院务（信息）公开制度，明确其院务（信息）公开的具体内容。</w:t>
      </w:r>
    </w:p>
    <w:p>
      <w:pPr>
        <w:shd w:val="clear" w:color="auto" w:fill="FFFFFF"/>
        <w:adjustRightInd w:val="0"/>
        <w:snapToGrid w:val="0"/>
        <w:spacing w:line="500" w:lineRule="exact"/>
        <w:ind w:firstLine="560" w:firstLineChars="200"/>
        <w:jc w:val="left"/>
        <w:rPr>
          <w:rFonts w:ascii="宋体" w:cs="宋体"/>
          <w:kern w:val="0"/>
          <w:sz w:val="28"/>
          <w:szCs w:val="28"/>
        </w:rPr>
      </w:pPr>
    </w:p>
    <w:p>
      <w:pPr>
        <w:shd w:val="clear" w:color="auto" w:fill="FFFFFF"/>
        <w:adjustRightInd w:val="0"/>
        <w:snapToGrid w:val="0"/>
        <w:spacing w:line="500" w:lineRule="exact"/>
        <w:ind w:firstLine="562" w:firstLineChars="200"/>
        <w:jc w:val="center"/>
        <w:rPr>
          <w:rFonts w:ascii="宋体"/>
          <w:b/>
          <w:sz w:val="28"/>
          <w:szCs w:val="28"/>
        </w:rPr>
      </w:pPr>
      <w:r>
        <w:rPr>
          <w:rFonts w:hint="eastAsia" w:ascii="宋体" w:hAnsi="宋体" w:cs="宋体"/>
          <w:b/>
          <w:kern w:val="0"/>
          <w:sz w:val="28"/>
          <w:szCs w:val="28"/>
        </w:rPr>
        <w:t xml:space="preserve">第四章  </w:t>
      </w:r>
      <w:r>
        <w:rPr>
          <w:rFonts w:hint="eastAsia" w:ascii="宋体" w:hAnsi="宋体"/>
          <w:b/>
          <w:sz w:val="28"/>
          <w:szCs w:val="28"/>
        </w:rPr>
        <w:t>监督和保障</w:t>
      </w:r>
    </w:p>
    <w:p>
      <w:pPr>
        <w:shd w:val="clear" w:color="auto" w:fill="FFFFFF"/>
        <w:adjustRightInd w:val="0"/>
        <w:snapToGrid w:val="0"/>
        <w:spacing w:line="500" w:lineRule="exact"/>
        <w:ind w:firstLine="562" w:firstLineChars="200"/>
        <w:jc w:val="left"/>
        <w:rPr>
          <w:rFonts w:ascii="宋体" w:hAnsi="宋体" w:cs="宋体"/>
          <w:b/>
          <w:kern w:val="0"/>
          <w:sz w:val="28"/>
          <w:szCs w:val="28"/>
        </w:rPr>
      </w:pP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第二十二条</w:t>
      </w:r>
      <w:r>
        <w:rPr>
          <w:rFonts w:hint="eastAsia" w:ascii="宋体" w:hAnsi="宋体" w:cs="宋体"/>
          <w:kern w:val="0"/>
          <w:sz w:val="28"/>
          <w:szCs w:val="28"/>
        </w:rPr>
        <w:t>　学院院务（信息）公开工作受上级主管部门领导与监督。</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第二十三条</w:t>
      </w:r>
      <w:r>
        <w:rPr>
          <w:rFonts w:hint="eastAsia" w:ascii="宋体" w:hAnsi="宋体" w:cs="宋体"/>
          <w:kern w:val="0"/>
          <w:sz w:val="28"/>
          <w:szCs w:val="28"/>
        </w:rPr>
        <w:t>　学院将院务（信息）公开工作纳入干部岗位责任考核内容。考核工作可与年终考核结合进行。</w:t>
      </w:r>
    </w:p>
    <w:p>
      <w:pPr>
        <w:shd w:val="clear" w:color="auto" w:fill="FFFFFF"/>
        <w:adjustRightInd w:val="0"/>
        <w:snapToGrid w:val="0"/>
        <w:spacing w:line="500" w:lineRule="exact"/>
        <w:ind w:firstLine="560" w:firstLineChars="200"/>
        <w:jc w:val="left"/>
        <w:rPr>
          <w:rFonts w:ascii="宋体" w:cs="宋体"/>
          <w:kern w:val="0"/>
          <w:sz w:val="28"/>
          <w:szCs w:val="28"/>
        </w:rPr>
      </w:pPr>
      <w:r>
        <w:rPr>
          <w:rFonts w:hint="eastAsia" w:ascii="宋体" w:hAnsi="宋体" w:cs="宋体"/>
          <w:kern w:val="0"/>
          <w:sz w:val="28"/>
          <w:szCs w:val="28"/>
        </w:rPr>
        <w:t>学院内设监察部门负责组织对本院院务（信息）公开工作的监督检查，监督检查应当有教师、学生和学院其他工作人员代表参加。</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第二十四条</w:t>
      </w:r>
      <w:r>
        <w:rPr>
          <w:rFonts w:hint="eastAsia" w:ascii="宋体" w:hAnsi="宋体" w:cs="宋体"/>
          <w:kern w:val="0"/>
          <w:sz w:val="28"/>
          <w:szCs w:val="28"/>
        </w:rPr>
        <w:t>　党政办公室负责编制学院上一学年院务（信息）公开工作年度报告，并于每年</w:t>
      </w:r>
      <w:r>
        <w:rPr>
          <w:rFonts w:ascii="宋体" w:hAnsi="宋体" w:cs="宋体"/>
          <w:kern w:val="0"/>
          <w:sz w:val="28"/>
          <w:szCs w:val="28"/>
        </w:rPr>
        <w:t>10</w:t>
      </w:r>
      <w:r>
        <w:rPr>
          <w:rFonts w:hint="eastAsia" w:ascii="宋体" w:hAnsi="宋体" w:cs="宋体"/>
          <w:kern w:val="0"/>
          <w:sz w:val="28"/>
          <w:szCs w:val="28"/>
        </w:rPr>
        <w:t>月底前报送上海市教育委员会。</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第二十五条</w:t>
      </w:r>
      <w:r>
        <w:rPr>
          <w:rFonts w:hint="eastAsia" w:ascii="宋体" w:hAnsi="宋体" w:cs="宋体"/>
          <w:kern w:val="0"/>
          <w:sz w:val="28"/>
          <w:szCs w:val="28"/>
        </w:rPr>
        <w:t>学院接受上级教育行政部门对学院院务（信息）公开工作的检查和评议。</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第二十六条</w:t>
      </w:r>
      <w:r>
        <w:rPr>
          <w:rFonts w:hint="eastAsia" w:ascii="宋体" w:hAnsi="宋体" w:cs="宋体"/>
          <w:kern w:val="0"/>
          <w:sz w:val="28"/>
          <w:szCs w:val="28"/>
        </w:rPr>
        <w:t>　师生员工、社会公众、法人和其他组织认为学院未按照本办法规定履行院务（信息）公开义务的，可以向学院反映或向上级主管部门举报。</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第二十七条</w:t>
      </w:r>
      <w:r>
        <w:rPr>
          <w:rFonts w:hint="eastAsia" w:ascii="宋体" w:hAnsi="宋体" w:cs="宋体"/>
          <w:kern w:val="0"/>
          <w:sz w:val="28"/>
          <w:szCs w:val="28"/>
        </w:rPr>
        <w:t>　学院应当将开展院务（信息）公开工作所需经费纳入年度预算，为学院院务（信息）公开工作提供经费保障。</w:t>
      </w:r>
    </w:p>
    <w:p>
      <w:pPr>
        <w:shd w:val="clear" w:color="auto" w:fill="FFFFFF"/>
        <w:adjustRightInd w:val="0"/>
        <w:snapToGrid w:val="0"/>
        <w:spacing w:line="500" w:lineRule="exact"/>
        <w:ind w:firstLine="562" w:firstLineChars="200"/>
        <w:jc w:val="left"/>
        <w:rPr>
          <w:rFonts w:ascii="宋体" w:cs="宋体"/>
          <w:kern w:val="0"/>
          <w:sz w:val="28"/>
          <w:szCs w:val="28"/>
        </w:rPr>
      </w:pPr>
      <w:r>
        <w:rPr>
          <w:rFonts w:hint="eastAsia" w:ascii="宋体" w:hAnsi="宋体" w:cs="宋体"/>
          <w:b/>
          <w:kern w:val="0"/>
          <w:sz w:val="28"/>
          <w:szCs w:val="28"/>
        </w:rPr>
        <w:t>第二十八条</w:t>
      </w:r>
      <w:r>
        <w:rPr>
          <w:rFonts w:hint="eastAsia" w:ascii="宋体" w:hAnsi="宋体" w:cs="宋体"/>
          <w:kern w:val="0"/>
          <w:sz w:val="28"/>
          <w:szCs w:val="28"/>
        </w:rPr>
        <w:t>本细则自公布之日起施行。</w:t>
      </w:r>
    </w:p>
    <w:p>
      <w:pPr>
        <w:shd w:val="clear" w:color="auto" w:fill="FFFFFF"/>
        <w:adjustRightInd w:val="0"/>
        <w:snapToGrid w:val="0"/>
        <w:spacing w:line="500" w:lineRule="exact"/>
        <w:ind w:firstLine="560" w:firstLineChars="200"/>
        <w:jc w:val="left"/>
        <w:rPr>
          <w:rFonts w:ascii="宋体" w:cs="宋体"/>
          <w:kern w:val="0"/>
          <w:sz w:val="28"/>
          <w:szCs w:val="28"/>
        </w:rPr>
      </w:pPr>
    </w:p>
    <w:p>
      <w:pPr>
        <w:spacing w:line="500" w:lineRule="exact"/>
        <w:rPr>
          <w:sz w:val="28"/>
          <w:szCs w:val="28"/>
        </w:rPr>
      </w:pPr>
    </w:p>
    <w:p>
      <w:pPr>
        <w:spacing w:line="500" w:lineRule="exact"/>
        <w:jc w:val="right"/>
        <w:rPr>
          <w:sz w:val="28"/>
          <w:szCs w:val="28"/>
        </w:rPr>
      </w:pPr>
      <w:r>
        <w:rPr>
          <w:rFonts w:hint="eastAsia"/>
          <w:sz w:val="28"/>
          <w:szCs w:val="28"/>
        </w:rPr>
        <w:t>上海工商职业技术学院</w:t>
      </w:r>
    </w:p>
    <w:p>
      <w:pPr>
        <w:spacing w:line="500" w:lineRule="exact"/>
        <w:jc w:val="right"/>
        <w:rPr>
          <w:sz w:val="28"/>
          <w:szCs w:val="28"/>
        </w:rPr>
      </w:pPr>
      <w:r>
        <w:rPr>
          <w:rFonts w:hint="eastAsia"/>
          <w:sz w:val="28"/>
          <w:szCs w:val="28"/>
        </w:rPr>
        <w:t xml:space="preserve">                                        2014年9月3日</w:t>
      </w:r>
    </w:p>
    <w:p>
      <w:pPr>
        <w:adjustRightInd w:val="0"/>
        <w:snapToGrid w:val="0"/>
        <w:spacing w:line="520" w:lineRule="exact"/>
        <w:ind w:right="630"/>
        <w:jc w:val="right"/>
        <w:rPr>
          <w:rFonts w:cs="仿宋" w:asciiTheme="majorEastAsia" w:hAnsiTheme="majorEastAsia" w:eastAsiaTheme="majorEastAsia"/>
          <w:sz w:val="28"/>
          <w:szCs w:val="28"/>
        </w:rPr>
      </w:pPr>
    </w:p>
    <w:sectPr>
      <w:footerReference r:id="rId3" w:type="default"/>
      <w:pgSz w:w="11906" w:h="16838"/>
      <w:pgMar w:top="1701" w:right="1508" w:bottom="1701" w:left="150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1541339"/>
      <w:docPartObj>
        <w:docPartGallery w:val="AutoText"/>
      </w:docPartObj>
    </w:sdtPr>
    <w:sdtContent>
      <w:sdt>
        <w:sdtPr>
          <w:id w:val="-1669238322"/>
          <w:docPartObj>
            <w:docPartGallery w:val="AutoText"/>
          </w:docPartObj>
        </w:sdtPr>
        <w:sdtContent>
          <w:p>
            <w:pPr>
              <w:pStyle w:val="5"/>
              <w:jc w:val="center"/>
            </w:pP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35C94"/>
    <w:multiLevelType w:val="multilevel"/>
    <w:tmpl w:val="11A35C94"/>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1DD"/>
    <w:rsid w:val="00012CA4"/>
    <w:rsid w:val="00030725"/>
    <w:rsid w:val="00047AFC"/>
    <w:rsid w:val="00072283"/>
    <w:rsid w:val="00072460"/>
    <w:rsid w:val="000736DB"/>
    <w:rsid w:val="00080FBB"/>
    <w:rsid w:val="000B7710"/>
    <w:rsid w:val="001122D4"/>
    <w:rsid w:val="00113AE7"/>
    <w:rsid w:val="001170EF"/>
    <w:rsid w:val="00127750"/>
    <w:rsid w:val="00131BD7"/>
    <w:rsid w:val="00133311"/>
    <w:rsid w:val="00135CA7"/>
    <w:rsid w:val="00144921"/>
    <w:rsid w:val="00146338"/>
    <w:rsid w:val="001508D8"/>
    <w:rsid w:val="0016628C"/>
    <w:rsid w:val="00171779"/>
    <w:rsid w:val="001810AC"/>
    <w:rsid w:val="0019511E"/>
    <w:rsid w:val="001A4B0C"/>
    <w:rsid w:val="001B5B40"/>
    <w:rsid w:val="001C25D1"/>
    <w:rsid w:val="001D03BA"/>
    <w:rsid w:val="001D1EC3"/>
    <w:rsid w:val="001F2503"/>
    <w:rsid w:val="00203F08"/>
    <w:rsid w:val="0023433E"/>
    <w:rsid w:val="0024354E"/>
    <w:rsid w:val="002603B6"/>
    <w:rsid w:val="002672F7"/>
    <w:rsid w:val="00273B37"/>
    <w:rsid w:val="00274B97"/>
    <w:rsid w:val="00296256"/>
    <w:rsid w:val="00297FC4"/>
    <w:rsid w:val="002B6309"/>
    <w:rsid w:val="002B6E67"/>
    <w:rsid w:val="002C758E"/>
    <w:rsid w:val="002D56C4"/>
    <w:rsid w:val="002E4B09"/>
    <w:rsid w:val="0030317C"/>
    <w:rsid w:val="003075C5"/>
    <w:rsid w:val="00312F15"/>
    <w:rsid w:val="003607D2"/>
    <w:rsid w:val="00362AE9"/>
    <w:rsid w:val="00381085"/>
    <w:rsid w:val="0038161F"/>
    <w:rsid w:val="0039170A"/>
    <w:rsid w:val="00396C91"/>
    <w:rsid w:val="003A3685"/>
    <w:rsid w:val="003B2B06"/>
    <w:rsid w:val="003B2E1B"/>
    <w:rsid w:val="003B6D9B"/>
    <w:rsid w:val="003D02AE"/>
    <w:rsid w:val="003E3B92"/>
    <w:rsid w:val="003E3BB7"/>
    <w:rsid w:val="00410474"/>
    <w:rsid w:val="00412C43"/>
    <w:rsid w:val="00432522"/>
    <w:rsid w:val="00433B5E"/>
    <w:rsid w:val="00441DF4"/>
    <w:rsid w:val="004454DB"/>
    <w:rsid w:val="00445646"/>
    <w:rsid w:val="004458F9"/>
    <w:rsid w:val="00445CB5"/>
    <w:rsid w:val="00450017"/>
    <w:rsid w:val="00450899"/>
    <w:rsid w:val="00461620"/>
    <w:rsid w:val="00461D9B"/>
    <w:rsid w:val="00466C77"/>
    <w:rsid w:val="00482D4A"/>
    <w:rsid w:val="004842A6"/>
    <w:rsid w:val="004A09A1"/>
    <w:rsid w:val="004A719D"/>
    <w:rsid w:val="004C3B8F"/>
    <w:rsid w:val="004D040B"/>
    <w:rsid w:val="004D645F"/>
    <w:rsid w:val="00511836"/>
    <w:rsid w:val="00512468"/>
    <w:rsid w:val="00527349"/>
    <w:rsid w:val="005320F2"/>
    <w:rsid w:val="005514B7"/>
    <w:rsid w:val="00564848"/>
    <w:rsid w:val="00570927"/>
    <w:rsid w:val="00576A7B"/>
    <w:rsid w:val="005771CA"/>
    <w:rsid w:val="0057741D"/>
    <w:rsid w:val="005A5F49"/>
    <w:rsid w:val="005B1D8F"/>
    <w:rsid w:val="005B43FF"/>
    <w:rsid w:val="005D5843"/>
    <w:rsid w:val="0061321B"/>
    <w:rsid w:val="00614250"/>
    <w:rsid w:val="00627DFD"/>
    <w:rsid w:val="00646FD4"/>
    <w:rsid w:val="00654D26"/>
    <w:rsid w:val="00655A44"/>
    <w:rsid w:val="00657C4E"/>
    <w:rsid w:val="00682B36"/>
    <w:rsid w:val="006875BF"/>
    <w:rsid w:val="006878E4"/>
    <w:rsid w:val="0069733A"/>
    <w:rsid w:val="006A1A58"/>
    <w:rsid w:val="006C067F"/>
    <w:rsid w:val="006D3E54"/>
    <w:rsid w:val="006D4515"/>
    <w:rsid w:val="006D63CB"/>
    <w:rsid w:val="006E1DAB"/>
    <w:rsid w:val="006F72EC"/>
    <w:rsid w:val="007261DD"/>
    <w:rsid w:val="00756822"/>
    <w:rsid w:val="0079417F"/>
    <w:rsid w:val="007A4E74"/>
    <w:rsid w:val="007B527C"/>
    <w:rsid w:val="007B5BD2"/>
    <w:rsid w:val="007D1A2C"/>
    <w:rsid w:val="007D3018"/>
    <w:rsid w:val="007D39FD"/>
    <w:rsid w:val="007F0007"/>
    <w:rsid w:val="00804DA0"/>
    <w:rsid w:val="00845EA7"/>
    <w:rsid w:val="008650FD"/>
    <w:rsid w:val="008663BA"/>
    <w:rsid w:val="008672E4"/>
    <w:rsid w:val="008C6B6B"/>
    <w:rsid w:val="008D207E"/>
    <w:rsid w:val="008D6BF8"/>
    <w:rsid w:val="008F317F"/>
    <w:rsid w:val="00904DEB"/>
    <w:rsid w:val="009055FB"/>
    <w:rsid w:val="00923AEC"/>
    <w:rsid w:val="00934645"/>
    <w:rsid w:val="00952F4C"/>
    <w:rsid w:val="00971A39"/>
    <w:rsid w:val="009966BC"/>
    <w:rsid w:val="009B423B"/>
    <w:rsid w:val="009D5FD4"/>
    <w:rsid w:val="009D634E"/>
    <w:rsid w:val="009F731B"/>
    <w:rsid w:val="00A017E7"/>
    <w:rsid w:val="00A032CE"/>
    <w:rsid w:val="00A3752B"/>
    <w:rsid w:val="00A3762F"/>
    <w:rsid w:val="00A409FE"/>
    <w:rsid w:val="00A61DEA"/>
    <w:rsid w:val="00A92AE8"/>
    <w:rsid w:val="00A972B8"/>
    <w:rsid w:val="00AA55A5"/>
    <w:rsid w:val="00AA5FC4"/>
    <w:rsid w:val="00AA662D"/>
    <w:rsid w:val="00AD41FB"/>
    <w:rsid w:val="00AE19BF"/>
    <w:rsid w:val="00AE7EAC"/>
    <w:rsid w:val="00AF1F2D"/>
    <w:rsid w:val="00AF2375"/>
    <w:rsid w:val="00B1012A"/>
    <w:rsid w:val="00B24D53"/>
    <w:rsid w:val="00B33C95"/>
    <w:rsid w:val="00B527B4"/>
    <w:rsid w:val="00B64D06"/>
    <w:rsid w:val="00B6541E"/>
    <w:rsid w:val="00B7174D"/>
    <w:rsid w:val="00B963C6"/>
    <w:rsid w:val="00BA1BBA"/>
    <w:rsid w:val="00BB7DE8"/>
    <w:rsid w:val="00BD6FE3"/>
    <w:rsid w:val="00C022C1"/>
    <w:rsid w:val="00C0405F"/>
    <w:rsid w:val="00C10F1E"/>
    <w:rsid w:val="00C1497A"/>
    <w:rsid w:val="00C27F21"/>
    <w:rsid w:val="00C35C8F"/>
    <w:rsid w:val="00C47681"/>
    <w:rsid w:val="00C54D6E"/>
    <w:rsid w:val="00C552AF"/>
    <w:rsid w:val="00C600F6"/>
    <w:rsid w:val="00C918B6"/>
    <w:rsid w:val="00CA3401"/>
    <w:rsid w:val="00CB12AF"/>
    <w:rsid w:val="00CB2524"/>
    <w:rsid w:val="00CB69C8"/>
    <w:rsid w:val="00CC7CD7"/>
    <w:rsid w:val="00CD0A3D"/>
    <w:rsid w:val="00CD13F7"/>
    <w:rsid w:val="00CD46B8"/>
    <w:rsid w:val="00CF0A5B"/>
    <w:rsid w:val="00D120A8"/>
    <w:rsid w:val="00D20B3A"/>
    <w:rsid w:val="00D32F15"/>
    <w:rsid w:val="00D426A3"/>
    <w:rsid w:val="00D44145"/>
    <w:rsid w:val="00D60785"/>
    <w:rsid w:val="00D64D7D"/>
    <w:rsid w:val="00D73B1A"/>
    <w:rsid w:val="00D74CF5"/>
    <w:rsid w:val="00D8246B"/>
    <w:rsid w:val="00D90D7C"/>
    <w:rsid w:val="00D93137"/>
    <w:rsid w:val="00D95B1F"/>
    <w:rsid w:val="00DC0D30"/>
    <w:rsid w:val="00DD3327"/>
    <w:rsid w:val="00DD4919"/>
    <w:rsid w:val="00DE6574"/>
    <w:rsid w:val="00E04628"/>
    <w:rsid w:val="00E07A8C"/>
    <w:rsid w:val="00E27C10"/>
    <w:rsid w:val="00E64CF0"/>
    <w:rsid w:val="00E71004"/>
    <w:rsid w:val="00E8208B"/>
    <w:rsid w:val="00E95A58"/>
    <w:rsid w:val="00E9651B"/>
    <w:rsid w:val="00EA288C"/>
    <w:rsid w:val="00EA42BA"/>
    <w:rsid w:val="00EA75A5"/>
    <w:rsid w:val="00EC7433"/>
    <w:rsid w:val="00EC7C40"/>
    <w:rsid w:val="00EF0405"/>
    <w:rsid w:val="00F01A60"/>
    <w:rsid w:val="00F02274"/>
    <w:rsid w:val="00F02DCA"/>
    <w:rsid w:val="00F12B86"/>
    <w:rsid w:val="00F4035A"/>
    <w:rsid w:val="00F4685C"/>
    <w:rsid w:val="00F46D8D"/>
    <w:rsid w:val="00F5279B"/>
    <w:rsid w:val="00F52E72"/>
    <w:rsid w:val="00F54D65"/>
    <w:rsid w:val="00F65F6B"/>
    <w:rsid w:val="00F672B6"/>
    <w:rsid w:val="00F74FBD"/>
    <w:rsid w:val="00F7634D"/>
    <w:rsid w:val="00F82542"/>
    <w:rsid w:val="00FB3904"/>
    <w:rsid w:val="00FB3D96"/>
    <w:rsid w:val="00FB46FA"/>
    <w:rsid w:val="00FE5FD3"/>
    <w:rsid w:val="51C164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eastAsia="仿宋_GB2312" w:cs="Times New Roman"/>
      <w:sz w:val="32"/>
      <w:szCs w:val="20"/>
    </w:rPr>
  </w:style>
  <w:style w:type="paragraph" w:styleId="3">
    <w:name w:val="Date"/>
    <w:basedOn w:val="1"/>
    <w:next w:val="1"/>
    <w:link w:val="13"/>
    <w:semiHidden/>
    <w:unhideWhenUsed/>
    <w:uiPriority w:val="99"/>
    <w:pPr>
      <w:ind w:left="100" w:leftChars="25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qFormat/>
    <w:uiPriority w:val="0"/>
    <w:rPr>
      <w:b/>
      <w:bCs/>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日期 Char"/>
    <w:basedOn w:val="9"/>
    <w:link w:val="3"/>
    <w:semiHidden/>
    <w:uiPriority w:val="99"/>
  </w:style>
  <w:style w:type="paragraph" w:customStyle="1" w:styleId="14">
    <w:name w:val="Geen afstand"/>
    <w:qFormat/>
    <w:uiPriority w:val="0"/>
    <w:rPr>
      <w:rFonts w:ascii="Calibri" w:hAnsi="Calibri" w:eastAsia="宋体" w:cs="Times New Roman"/>
      <w:kern w:val="0"/>
      <w:sz w:val="22"/>
      <w:szCs w:val="22"/>
      <w:lang w:val="en-GB" w:eastAsia="zh-CN" w:bidi="ar-SA"/>
    </w:rPr>
  </w:style>
  <w:style w:type="character" w:customStyle="1" w:styleId="15">
    <w:name w:val="批注框文本 Char"/>
    <w:basedOn w:val="9"/>
    <w:link w:val="4"/>
    <w:semiHidden/>
    <w:qFormat/>
    <w:uiPriority w:val="99"/>
    <w:rPr>
      <w:sz w:val="18"/>
      <w:szCs w:val="18"/>
    </w:rPr>
  </w:style>
  <w:style w:type="paragraph" w:styleId="16">
    <w:name w:val="List Paragraph"/>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9041FE-CF03-42B5-9D5B-1E1543A5F3A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574</Words>
  <Characters>3274</Characters>
  <Lines>27</Lines>
  <Paragraphs>7</Paragraphs>
  <TotalTime>7</TotalTime>
  <ScaleCrop>false</ScaleCrop>
  <LinksUpToDate>false</LinksUpToDate>
  <CharactersWithSpaces>3841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2020-09-29T07:13:00Z</dcterms:created>
  <dc:creator>微软用户</dc:creator>
  <cp:lastModifiedBy>文刀木子兮</cp:lastModifiedBy>
  <cp:lastPrinted>2017-12-13T06:22:00Z</cp:lastPrinted>
  <dcterms:modified xsi:type="dcterms:W3CDTF">2023-08-07T16:03:32Z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47239EE9E4C64605B9368B92CC47956A_13</vt:lpwstr>
  </property>
</Properties>
</file>