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178" w:leftChars="-85" w:right="-147" w:rightChars="-70"/>
        <w:jc w:val="center"/>
        <w:rPr>
          <w:rFonts w:ascii="华文中宋" w:hAnsi="华文中宋" w:eastAsia="华文中宋"/>
          <w:b/>
          <w:color w:val="FF3200"/>
          <w:kern w:val="0"/>
          <w:sz w:val="56"/>
          <w:szCs w:val="56"/>
        </w:rPr>
      </w:pPr>
      <w:bookmarkStart w:id="5" w:name="_GoBack"/>
      <w:bookmarkEnd w:id="5"/>
      <w:r>
        <w:rPr>
          <w:rFonts w:hint="eastAsia" w:ascii="华文中宋" w:hAnsi="华文中宋" w:eastAsia="华文中宋"/>
          <w:b/>
          <w:color w:val="FF3200"/>
          <w:kern w:val="0"/>
          <w:sz w:val="56"/>
          <w:szCs w:val="56"/>
        </w:rPr>
        <w:t>上海工商职业技术学院文件</w:t>
      </w:r>
    </w:p>
    <w:p>
      <w:pPr>
        <w:adjustRightInd w:val="0"/>
        <w:snapToGrid w:val="0"/>
        <w:spacing w:line="480" w:lineRule="auto"/>
        <w:jc w:val="center"/>
        <w:rPr>
          <w:rFonts w:asciiTheme="minorEastAsia" w:hAnsiTheme="minorEastAsia"/>
          <w:bCs/>
          <w:sz w:val="30"/>
          <w:szCs w:val="30"/>
        </w:rPr>
      </w:pPr>
    </w:p>
    <w:p>
      <w:pPr>
        <w:adjustRightInd w:val="0"/>
        <w:snapToGrid w:val="0"/>
        <w:jc w:val="center"/>
        <w:rPr>
          <w:rFonts w:asciiTheme="minorEastAsia" w:hAnsiTheme="minorEastAsia"/>
          <w:bCs/>
          <w:sz w:val="30"/>
          <w:szCs w:val="30"/>
        </w:rPr>
      </w:pPr>
      <w:r>
        <w:rPr>
          <w:rFonts w:hint="eastAsia" w:asciiTheme="minorEastAsia" w:hAnsiTheme="minorEastAsia"/>
          <w:bCs/>
          <w:sz w:val="30"/>
          <w:szCs w:val="30"/>
        </w:rPr>
        <w:t>沪工商教〔2018〕12号</w:t>
      </w:r>
    </w:p>
    <w:p>
      <w:pPr>
        <w:adjustRightInd w:val="0"/>
        <w:snapToGrid w:val="0"/>
        <w:jc w:val="left"/>
        <w:rPr>
          <w:rFonts w:ascii="华文中宋" w:hAnsi="华文中宋" w:eastAsia="华文中宋" w:cs="宋体"/>
          <w:b/>
          <w:color w:val="FF0000"/>
          <w:kern w:val="0"/>
          <w:sz w:val="28"/>
          <w:szCs w:val="32"/>
          <w:u w:val="thick"/>
        </w:rPr>
      </w:pPr>
      <w:r>
        <w:rPr>
          <w:rFonts w:hint="eastAsia" w:ascii="华文中宋" w:hAnsi="华文中宋" w:eastAsia="华文中宋" w:cs="宋体"/>
          <w:b/>
          <w:color w:val="FF0000"/>
          <w:kern w:val="0"/>
          <w:sz w:val="28"/>
          <w:szCs w:val="32"/>
          <w:u w:val="thick"/>
        </w:rPr>
        <w:t xml:space="preserve">                                                                        </w:t>
      </w:r>
    </w:p>
    <w:p>
      <w:pPr>
        <w:jc w:val="center"/>
        <w:rPr>
          <w:rFonts w:ascii="华文中宋" w:hAnsi="华文中宋" w:eastAsia="华文中宋"/>
          <w:b/>
          <w:szCs w:val="28"/>
        </w:rPr>
      </w:pPr>
    </w:p>
    <w:p>
      <w:pPr>
        <w:jc w:val="center"/>
        <w:rPr>
          <w:rFonts w:ascii="华文中宋" w:hAnsi="华文中宋" w:eastAsia="华文中宋"/>
          <w:b/>
          <w:sz w:val="36"/>
          <w:szCs w:val="36"/>
        </w:rPr>
      </w:pPr>
      <w:r>
        <w:rPr>
          <w:rFonts w:hint="eastAsia" w:ascii="华文中宋" w:hAnsi="华文中宋" w:eastAsia="华文中宋"/>
          <w:b/>
          <w:sz w:val="36"/>
          <w:szCs w:val="36"/>
        </w:rPr>
        <w:t>关于印发《上海工商职业技术学院</w:t>
      </w:r>
    </w:p>
    <w:p>
      <w:pPr>
        <w:jc w:val="center"/>
        <w:rPr>
          <w:rFonts w:ascii="华文中宋" w:hAnsi="华文中宋" w:eastAsia="华文中宋"/>
          <w:b/>
          <w:sz w:val="36"/>
          <w:szCs w:val="36"/>
        </w:rPr>
      </w:pPr>
      <w:r>
        <w:rPr>
          <w:rFonts w:hint="eastAsia" w:ascii="华文中宋" w:hAnsi="华文中宋" w:eastAsia="华文中宋"/>
          <w:b/>
          <w:sz w:val="36"/>
          <w:szCs w:val="36"/>
        </w:rPr>
        <w:t xml:space="preserve"> 教学成果奖评审与奖励办法(修订)》的通知</w:t>
      </w:r>
    </w:p>
    <w:p>
      <w:pPr>
        <w:rPr>
          <w:sz w:val="28"/>
          <w:szCs w:val="28"/>
        </w:rPr>
      </w:pPr>
    </w:p>
    <w:p>
      <w:pPr>
        <w:rPr>
          <w:sz w:val="28"/>
          <w:szCs w:val="28"/>
        </w:rPr>
      </w:pPr>
      <w:r>
        <w:rPr>
          <w:rFonts w:hint="eastAsia"/>
          <w:sz w:val="28"/>
          <w:szCs w:val="28"/>
        </w:rPr>
        <w:t>各系、各部门：</w:t>
      </w:r>
    </w:p>
    <w:p>
      <w:pPr>
        <w:ind w:firstLine="560" w:firstLineChars="200"/>
        <w:rPr>
          <w:sz w:val="28"/>
          <w:szCs w:val="28"/>
        </w:rPr>
      </w:pPr>
      <w:r>
        <w:rPr>
          <w:rFonts w:hint="eastAsia"/>
          <w:sz w:val="28"/>
          <w:szCs w:val="28"/>
        </w:rPr>
        <w:t>为进一步加强我校的教学工作，鼓励广大教师积极开展教育教学研究，深化教学改革，不断提高教学水平和教育质量。根据国家《教学成果奖励条例》和《上海市教学成果奖励办法》的精神，特制定《上海工商职业技术学院教学成果奖评审与奖励办法（修订）》，经10月15日院长办公会讨论通过，现予以印发，请认真执行。</w:t>
      </w:r>
    </w:p>
    <w:p>
      <w:pPr>
        <w:ind w:firstLine="660"/>
        <w:rPr>
          <w:sz w:val="28"/>
        </w:rPr>
      </w:pPr>
      <w:r>
        <w:rPr>
          <w:rFonts w:hint="eastAsia"/>
          <w:sz w:val="28"/>
        </w:rPr>
        <w:t>特此通知。</w:t>
      </w:r>
    </w:p>
    <w:p>
      <w:pPr>
        <w:ind w:firstLine="660"/>
        <w:rPr>
          <w:sz w:val="28"/>
          <w:szCs w:val="28"/>
        </w:rPr>
      </w:pPr>
      <w:r>
        <w:rPr>
          <w:rFonts w:hint="eastAsia"/>
          <w:sz w:val="28"/>
        </w:rPr>
        <w:t>附件：</w:t>
      </w:r>
      <w:r>
        <w:rPr>
          <w:rFonts w:hint="eastAsia"/>
          <w:sz w:val="28"/>
          <w:szCs w:val="28"/>
        </w:rPr>
        <w:t>上海工商职业技术学院教学成果奖评审与奖励办法（修订）</w:t>
      </w:r>
    </w:p>
    <w:p>
      <w:pPr>
        <w:ind w:firstLine="660"/>
        <w:rPr>
          <w:sz w:val="28"/>
          <w:szCs w:val="28"/>
        </w:rPr>
      </w:pPr>
    </w:p>
    <w:p>
      <w:pPr>
        <w:ind w:firstLine="660"/>
        <w:rPr>
          <w:sz w:val="28"/>
          <w:szCs w:val="28"/>
        </w:rPr>
      </w:pPr>
    </w:p>
    <w:p>
      <w:pPr>
        <w:ind w:firstLine="660"/>
        <w:rPr>
          <w:sz w:val="28"/>
          <w:szCs w:val="28"/>
        </w:rPr>
      </w:pPr>
      <w:r>
        <w:rPr>
          <w:rFonts w:hint="eastAsia"/>
          <w:sz w:val="28"/>
          <w:szCs w:val="28"/>
        </w:rPr>
        <w:t>上海工商职业技术学院</w:t>
      </w:r>
    </w:p>
    <w:p>
      <w:pPr>
        <w:ind w:firstLine="660"/>
        <w:rPr>
          <w:sz w:val="32"/>
          <w:szCs w:val="28"/>
        </w:rPr>
      </w:pPr>
      <w:r>
        <w:rPr>
          <w:rFonts w:hint="eastAsia"/>
          <w:sz w:val="28"/>
          <w:szCs w:val="28"/>
        </w:rPr>
        <w:t xml:space="preserve">                                  2018年10月15日</w:t>
      </w:r>
    </w:p>
    <w:p>
      <w:pPr>
        <w:jc w:val="center"/>
        <w:rPr>
          <w:rFonts w:ascii="华文中宋" w:hAnsi="华文中宋" w:eastAsia="华文中宋"/>
          <w:b/>
          <w:szCs w:val="28"/>
        </w:rPr>
      </w:pPr>
    </w:p>
    <w:p>
      <w:pPr>
        <w:jc w:val="center"/>
        <w:rPr>
          <w:rFonts w:ascii="华文中宋" w:hAnsi="华文中宋" w:eastAsia="华文中宋"/>
          <w:b/>
          <w:szCs w:val="28"/>
        </w:rPr>
      </w:pPr>
    </w:p>
    <w:p>
      <w:pPr>
        <w:adjustRightInd w:val="0"/>
        <w:snapToGrid w:val="0"/>
        <w:spacing w:line="520" w:lineRule="exact"/>
        <w:ind w:right="420"/>
        <w:jc w:val="right"/>
        <w:rPr>
          <w:rFonts w:cs="仿宋" w:asciiTheme="majorEastAsia" w:hAnsiTheme="majorEastAsia" w:eastAsiaTheme="majorEastAsia"/>
          <w:sz w:val="28"/>
          <w:szCs w:val="28"/>
        </w:rPr>
      </w:pPr>
      <w:r>
        <w:rPr>
          <w:rFonts w:asciiTheme="majorEastAsia" w:hAnsiTheme="majorEastAsia" w:eastAsiaTheme="majorEastAsia"/>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389255</wp:posOffset>
                </wp:positionV>
                <wp:extent cx="5558155" cy="0"/>
                <wp:effectExtent l="0" t="10795" r="4445" b="177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58155" cy="0"/>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margin-left:3.35pt;margin-top:30.65pt;height:0pt;width:437.65pt;z-index:251660288;mso-width-relative:page;mso-height-relative:page;" filled="f" stroked="t" coordsize="21600,21600" o:gfxdata="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dKDOdYA&#10;AAAHAQAADwAAAAAAAAABACAAAAAiAAAAZHJzL2Rvd25yZXYueG1sUEsBAhQAFAAAAAgAh07iQNm0&#10;FKLoAQAAuQMAAA4AAAAAAAAAAQAgAAAAJQEAAGRycy9lMm9Eb2MueG1sUEsFBgAAAAAGAAYAWQEA&#10;AH8FAAAAAA==&#10;">
                <v:fill on="f" focussize="0,0"/>
                <v:stroke weight="1.75pt" color="#000000" joinstyle="round"/>
                <v:imagedata o:title=""/>
                <o:lock v:ext="edit" aspectratio="f"/>
              </v:line>
            </w:pict>
          </mc:Fallback>
        </mc:AlternateContent>
      </w:r>
      <w:r>
        <w:rPr>
          <w:rFonts w:asciiTheme="majorEastAsia" w:hAnsiTheme="majorEastAsia" w:eastAsiaTheme="majorEastAsia"/>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-2540</wp:posOffset>
                </wp:positionV>
                <wp:extent cx="5558155" cy="9525"/>
                <wp:effectExtent l="0" t="0" r="4445"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558155" cy="9525"/>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flip:y;margin-left:3.7pt;margin-top:-0.2pt;height:0.75pt;width:437.65pt;z-index:251659264;mso-width-relative:page;mso-height-relative:page;" filled="f" stroked="t" coordsize="21600,21600" o:gfxdata="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VF&#10;/ljSAAAABQEAAA8AAAAAAAAAAQAgAAAAIgAAAGRycy9kb3ducmV2LnhtbFBLAQIUABQAAAAIAIdO&#10;4kB0FPlB8AEAAMYDAAAOAAAAAAAAAAEAIAAAACEBAABkcnMvZTJvRG9jLnhtbFBLBQYAAAAABgAG&#10;AFkBAACDBQAAAAA=&#10;">
                <v:fill on="f" focussize="0,0"/>
                <v:stroke weight="1.75pt" color="#000000" joinstyle="round"/>
                <v:imagedata o:title=""/>
                <o:lock v:ext="edit" aspectratio="f"/>
              </v:line>
            </w:pict>
          </mc:Fallback>
        </mc:AlternateContent>
      </w:r>
      <w:r>
        <w:rPr>
          <w:rFonts w:hint="eastAsia" w:cs="仿宋" w:asciiTheme="majorEastAsia" w:hAnsiTheme="majorEastAsia" w:eastAsiaTheme="majorEastAsia"/>
          <w:sz w:val="28"/>
          <w:szCs w:val="28"/>
        </w:rPr>
        <w:t>上海工商职业技术学院党政办公室2018年 10月18日印发</w:t>
      </w:r>
    </w:p>
    <w:p>
      <w:pPr>
        <w:spacing w:line="600" w:lineRule="exact"/>
        <w:rPr>
          <w:b/>
          <w:sz w:val="28"/>
          <w:szCs w:val="30"/>
        </w:rPr>
      </w:pPr>
      <w:r>
        <w:rPr>
          <w:rFonts w:hint="eastAsia"/>
          <w:b/>
          <w:sz w:val="28"/>
          <w:szCs w:val="30"/>
        </w:rPr>
        <w:t>附件</w:t>
      </w:r>
    </w:p>
    <w:p>
      <w:pPr>
        <w:pStyle w:val="20"/>
        <w:spacing w:line="276" w:lineRule="auto"/>
        <w:rPr>
          <w:rFonts w:asciiTheme="minorEastAsia" w:hAnsiTheme="minorEastAsia" w:eastAsiaTheme="minorEastAsia"/>
          <w:b/>
          <w:sz w:val="32"/>
          <w:szCs w:val="30"/>
        </w:rPr>
      </w:pPr>
      <w:bookmarkStart w:id="0" w:name="_Toc152051629"/>
      <w:bookmarkStart w:id="1" w:name="_Toc141761247"/>
      <w:bookmarkStart w:id="2" w:name="_Toc141156389"/>
      <w:bookmarkStart w:id="3" w:name="_Toc149459292"/>
      <w:bookmarkStart w:id="4" w:name="_Toc141156440"/>
      <w:r>
        <w:rPr>
          <w:rFonts w:hint="eastAsia" w:asciiTheme="minorEastAsia" w:hAnsiTheme="minorEastAsia" w:eastAsiaTheme="minorEastAsia"/>
          <w:b/>
          <w:sz w:val="32"/>
          <w:szCs w:val="30"/>
        </w:rPr>
        <w:t>上海工商职业技术学院</w:t>
      </w:r>
    </w:p>
    <w:p>
      <w:pPr>
        <w:pStyle w:val="20"/>
        <w:spacing w:line="276" w:lineRule="auto"/>
        <w:rPr>
          <w:rFonts w:asciiTheme="minorEastAsia" w:hAnsiTheme="minorEastAsia" w:eastAsiaTheme="minorEastAsia"/>
          <w:b/>
          <w:sz w:val="32"/>
          <w:szCs w:val="30"/>
        </w:rPr>
      </w:pPr>
      <w:r>
        <w:rPr>
          <w:rFonts w:hint="eastAsia" w:asciiTheme="minorEastAsia" w:hAnsiTheme="minorEastAsia" w:eastAsiaTheme="minorEastAsia"/>
          <w:b/>
          <w:sz w:val="32"/>
          <w:szCs w:val="30"/>
        </w:rPr>
        <w:t>《教学成果奖评审与奖励办法</w:t>
      </w:r>
      <w:bookmarkEnd w:id="0"/>
      <w:bookmarkEnd w:id="1"/>
      <w:bookmarkEnd w:id="2"/>
      <w:bookmarkEnd w:id="3"/>
      <w:bookmarkEnd w:id="4"/>
      <w:r>
        <w:rPr>
          <w:rFonts w:hint="eastAsia" w:asciiTheme="minorEastAsia" w:hAnsiTheme="minorEastAsia" w:eastAsiaTheme="minorEastAsia"/>
          <w:b/>
          <w:sz w:val="32"/>
          <w:szCs w:val="30"/>
        </w:rPr>
        <w:t>(修订)》</w:t>
      </w:r>
    </w:p>
    <w:p>
      <w:pPr>
        <w:pStyle w:val="19"/>
        <w:spacing w:line="360" w:lineRule="auto"/>
        <w:rPr>
          <w:sz w:val="24"/>
        </w:rPr>
      </w:pPr>
      <w:r>
        <w:rPr>
          <w:rFonts w:hint="eastAsia" w:eastAsia="黑体"/>
          <w:bCs/>
          <w:sz w:val="24"/>
        </w:rPr>
        <w:t>第一条</w:t>
      </w:r>
      <w:r>
        <w:rPr>
          <w:rFonts w:hint="eastAsia"/>
          <w:sz w:val="24"/>
        </w:rPr>
        <w:t>为全面贯彻党的教育方针，加强我院的教学工作，调动教育教学工作者的积极性和创造性，鼓励教育教学工作者积极开展教育教学研究，深化教学改革，加强教学基本建设，不断提高教学水平和教育质量。根据国家《教学成果奖励条例》和《上海市教学成果奖励办法》的精神，特制定本办法。</w:t>
      </w:r>
    </w:p>
    <w:p>
      <w:pPr>
        <w:pStyle w:val="19"/>
        <w:spacing w:line="360" w:lineRule="auto"/>
        <w:rPr>
          <w:sz w:val="24"/>
        </w:rPr>
      </w:pPr>
      <w:r>
        <w:rPr>
          <w:rFonts w:hint="eastAsia" w:eastAsia="黑体"/>
          <w:bCs/>
          <w:sz w:val="24"/>
        </w:rPr>
        <w:t>第二条</w:t>
      </w:r>
      <w:r>
        <w:rPr>
          <w:rFonts w:hint="eastAsia"/>
          <w:sz w:val="24"/>
        </w:rPr>
        <w:t>教学成果奖授予我院在高等职业教育教学及管理工作中做出贡献，取得显著成果的集体和个人。</w:t>
      </w:r>
    </w:p>
    <w:p>
      <w:pPr>
        <w:pStyle w:val="19"/>
        <w:spacing w:line="360" w:lineRule="auto"/>
        <w:rPr>
          <w:color w:val="000000" w:themeColor="text1"/>
          <w:sz w:val="24"/>
        </w:rPr>
      </w:pPr>
      <w:r>
        <w:rPr>
          <w:rFonts w:hint="eastAsia" w:eastAsia="黑体"/>
          <w:bCs/>
          <w:color w:val="000000" w:themeColor="text1"/>
          <w:sz w:val="24"/>
        </w:rPr>
        <w:t>第三条</w:t>
      </w:r>
      <w:r>
        <w:rPr>
          <w:rFonts w:hint="eastAsia"/>
          <w:color w:val="000000" w:themeColor="text1"/>
          <w:sz w:val="24"/>
        </w:rPr>
        <w:t>教学成果奖设特等奖、一等奖和二等奖和三等奖四个级别，对接国家教学成果奖四年评选一次的周期，为培育成果，可两年评选一次。获得院级特等奖或一等奖的项目作为上海市级教学成果奖的推荐备选项目</w:t>
      </w:r>
    </w:p>
    <w:p>
      <w:pPr>
        <w:pStyle w:val="19"/>
        <w:spacing w:line="360" w:lineRule="auto"/>
        <w:rPr>
          <w:color w:val="000000" w:themeColor="text1"/>
          <w:sz w:val="24"/>
        </w:rPr>
      </w:pPr>
      <w:r>
        <w:rPr>
          <w:rFonts w:hint="eastAsia" w:eastAsia="黑体"/>
          <w:bCs/>
          <w:color w:val="000000" w:themeColor="text1"/>
          <w:sz w:val="24"/>
        </w:rPr>
        <w:t>第四条</w:t>
      </w:r>
      <w:r>
        <w:rPr>
          <w:rFonts w:hint="eastAsia"/>
          <w:color w:val="000000" w:themeColor="text1"/>
          <w:sz w:val="24"/>
        </w:rPr>
        <w:t>教学成果主要包括：</w:t>
      </w:r>
    </w:p>
    <w:p>
      <w:pPr>
        <w:pStyle w:val="19"/>
        <w:spacing w:line="360" w:lineRule="auto"/>
        <w:rPr>
          <w:sz w:val="24"/>
        </w:rPr>
      </w:pPr>
      <w:r>
        <w:rPr>
          <w:rFonts w:hint="eastAsia"/>
          <w:sz w:val="24"/>
        </w:rPr>
        <w:t>（一）针对教育对象的特点和人才培养的要求，在转变教育思想，优化培养方案，改革课程体系，更新教学内容，改进教学方法和实验技术、全面推进素质教育，培养学生的创新精神和实践能力，促进学生知识、能力、素质综合提高、德智体美等全面发展，提高教学水平和教育质量等方面的成果。</w:t>
      </w:r>
    </w:p>
    <w:p>
      <w:pPr>
        <w:pStyle w:val="19"/>
        <w:spacing w:line="360" w:lineRule="auto"/>
        <w:rPr>
          <w:sz w:val="24"/>
        </w:rPr>
      </w:pPr>
      <w:r>
        <w:rPr>
          <w:rFonts w:hint="eastAsia"/>
          <w:sz w:val="24"/>
        </w:rPr>
        <w:t>（二）根据教育目的和教育教学规律，推动教学改革；在专业建设、师资队伍建设、教材建设、实验实习基地建设、学风建设和现代教育技术应用，促进产学研相结合与各种合作办学，开展评估，建立自我约束自我发展的机制，实现教学管理现代化等方面的成果。</w:t>
      </w:r>
    </w:p>
    <w:p>
      <w:pPr>
        <w:pStyle w:val="19"/>
        <w:spacing w:line="360" w:lineRule="auto"/>
        <w:rPr>
          <w:sz w:val="24"/>
        </w:rPr>
      </w:pPr>
      <w:r>
        <w:rPr>
          <w:rFonts w:hint="eastAsia"/>
          <w:sz w:val="24"/>
        </w:rPr>
        <w:t>（三）结合自身特点，推广、应用已有的教学成果，并在实践中进一步创新和发展</w:t>
      </w:r>
      <w:r>
        <w:rPr>
          <w:rFonts w:hint="eastAsia"/>
          <w:sz w:val="24"/>
          <w:lang w:val="en-GB"/>
        </w:rPr>
        <w:t>，</w:t>
      </w:r>
      <w:r>
        <w:rPr>
          <w:rFonts w:hint="eastAsia"/>
          <w:sz w:val="24"/>
        </w:rPr>
        <w:t>显著提高办学效益和人才培养质量等方面的成果。</w:t>
      </w:r>
    </w:p>
    <w:p>
      <w:pPr>
        <w:pStyle w:val="19"/>
        <w:spacing w:line="360" w:lineRule="auto"/>
        <w:rPr>
          <w:sz w:val="24"/>
        </w:rPr>
      </w:pPr>
      <w:r>
        <w:rPr>
          <w:rFonts w:hint="eastAsia" w:eastAsia="黑体"/>
          <w:bCs/>
          <w:sz w:val="24"/>
        </w:rPr>
        <w:t>第五条</w:t>
      </w:r>
      <w:r>
        <w:rPr>
          <w:rFonts w:hint="eastAsia"/>
          <w:sz w:val="24"/>
        </w:rPr>
        <w:t>符合上款条件，经过两年以上教育教学实践检验，</w:t>
      </w:r>
      <w:r>
        <w:rPr>
          <w:sz w:val="24"/>
        </w:rPr>
        <w:t>根据教学成果对提高教学水平和人才质量、实现培养目标产生的效果、</w:t>
      </w:r>
      <w:r>
        <w:rPr>
          <w:rFonts w:hint="eastAsia"/>
          <w:sz w:val="24"/>
        </w:rPr>
        <w:t>院</w:t>
      </w:r>
      <w:r>
        <w:rPr>
          <w:sz w:val="24"/>
        </w:rPr>
        <w:t>内外推广范围及实效大小，分设</w:t>
      </w:r>
      <w:r>
        <w:rPr>
          <w:rFonts w:hint="eastAsia"/>
          <w:sz w:val="24"/>
        </w:rPr>
        <w:t>特等奖、</w:t>
      </w:r>
      <w:r>
        <w:rPr>
          <w:sz w:val="24"/>
        </w:rPr>
        <w:t>一等奖</w:t>
      </w:r>
      <w:r>
        <w:rPr>
          <w:rFonts w:hint="eastAsia"/>
          <w:sz w:val="24"/>
        </w:rPr>
        <w:t>和</w:t>
      </w:r>
      <w:r>
        <w:rPr>
          <w:sz w:val="24"/>
        </w:rPr>
        <w:t>二等奖。</w:t>
      </w:r>
    </w:p>
    <w:p>
      <w:pPr>
        <w:pStyle w:val="19"/>
        <w:spacing w:line="360" w:lineRule="auto"/>
        <w:rPr>
          <w:sz w:val="24"/>
        </w:rPr>
      </w:pPr>
      <w:r>
        <w:rPr>
          <w:rFonts w:hint="eastAsia" w:eastAsia="黑体"/>
          <w:bCs/>
          <w:sz w:val="24"/>
        </w:rPr>
        <w:t>第六条</w:t>
      </w:r>
      <w:r>
        <w:rPr>
          <w:rFonts w:hint="eastAsia"/>
          <w:sz w:val="24"/>
        </w:rPr>
        <w:t>教学成果奖申请项目的个人或集体主要完成人应具备以下基本条件：</w:t>
      </w:r>
    </w:p>
    <w:p>
      <w:pPr>
        <w:pStyle w:val="19"/>
        <w:spacing w:line="360" w:lineRule="auto"/>
        <w:rPr>
          <w:sz w:val="24"/>
        </w:rPr>
      </w:pPr>
      <w:r>
        <w:rPr>
          <w:rFonts w:hint="eastAsia"/>
          <w:sz w:val="24"/>
        </w:rPr>
        <w:t>（一）</w:t>
      </w:r>
      <w:r>
        <w:rPr>
          <w:rFonts w:hint="eastAsia"/>
          <w:color w:val="000000" w:themeColor="text1"/>
          <w:sz w:val="24"/>
        </w:rPr>
        <w:t>坚持社会主义核心价值观，忠诚于党和人民的教育事业。</w:t>
      </w:r>
    </w:p>
    <w:p>
      <w:pPr>
        <w:pStyle w:val="19"/>
        <w:spacing w:line="360" w:lineRule="auto"/>
        <w:rPr>
          <w:sz w:val="24"/>
        </w:rPr>
      </w:pPr>
      <w:r>
        <w:rPr>
          <w:rFonts w:hint="eastAsia"/>
          <w:sz w:val="24"/>
        </w:rPr>
        <w:t>（二）直接参加成果的方案设计、论证、研究和实施全过程，并在整个过程中做出主要贡献。</w:t>
      </w:r>
    </w:p>
    <w:p>
      <w:pPr>
        <w:pStyle w:val="19"/>
        <w:spacing w:line="360" w:lineRule="auto"/>
        <w:rPr>
          <w:sz w:val="24"/>
        </w:rPr>
      </w:pPr>
      <w:r>
        <w:rPr>
          <w:rFonts w:hint="eastAsia"/>
          <w:sz w:val="24"/>
        </w:rPr>
        <w:t>（三）有连续三年以上从事教育教学工作经历的我院在职教职员工。</w:t>
      </w:r>
    </w:p>
    <w:p>
      <w:pPr>
        <w:pStyle w:val="19"/>
        <w:spacing w:line="360" w:lineRule="auto"/>
        <w:rPr>
          <w:sz w:val="24"/>
        </w:rPr>
      </w:pPr>
      <w:r>
        <w:rPr>
          <w:rFonts w:hint="eastAsia"/>
          <w:sz w:val="24"/>
        </w:rPr>
        <w:t>（四）凡按集体申报的成果，主要完成者原则上不超过五人。</w:t>
      </w:r>
    </w:p>
    <w:p>
      <w:pPr>
        <w:pStyle w:val="19"/>
        <w:spacing w:line="360" w:lineRule="auto"/>
        <w:rPr>
          <w:sz w:val="24"/>
        </w:rPr>
      </w:pPr>
      <w:r>
        <w:rPr>
          <w:rFonts w:hint="eastAsia" w:eastAsia="黑体"/>
          <w:bCs/>
          <w:sz w:val="24"/>
        </w:rPr>
        <w:t>第七条</w:t>
      </w:r>
      <w:r>
        <w:rPr>
          <w:rFonts w:hint="eastAsia"/>
          <w:sz w:val="24"/>
        </w:rPr>
        <w:t>学院成立教学成果奖评审委员会</w:t>
      </w:r>
      <w:r>
        <w:rPr>
          <w:rFonts w:hint="eastAsia"/>
          <w:color w:val="000000" w:themeColor="text1"/>
          <w:sz w:val="24"/>
        </w:rPr>
        <w:t>（或院学术委员会兼任）</w:t>
      </w:r>
      <w:r>
        <w:rPr>
          <w:rFonts w:hint="eastAsia"/>
          <w:sz w:val="24"/>
        </w:rPr>
        <w:t>，具体日常事务处理由教务处负责。</w:t>
      </w:r>
    </w:p>
    <w:p>
      <w:pPr>
        <w:pStyle w:val="19"/>
        <w:spacing w:line="360" w:lineRule="auto"/>
        <w:rPr>
          <w:sz w:val="24"/>
        </w:rPr>
      </w:pPr>
      <w:r>
        <w:rPr>
          <w:rFonts w:hint="eastAsia" w:eastAsia="黑体"/>
          <w:bCs/>
          <w:sz w:val="24"/>
        </w:rPr>
        <w:t>第八条</w:t>
      </w:r>
      <w:r>
        <w:rPr>
          <w:rFonts w:hint="eastAsia"/>
          <w:sz w:val="24"/>
        </w:rPr>
        <w:t>教学成果奖的申报工作，按以下程序：</w:t>
      </w:r>
    </w:p>
    <w:p>
      <w:pPr>
        <w:pStyle w:val="19"/>
        <w:spacing w:line="360" w:lineRule="auto"/>
        <w:rPr>
          <w:sz w:val="24"/>
        </w:rPr>
      </w:pPr>
      <w:r>
        <w:rPr>
          <w:rFonts w:hint="eastAsia"/>
          <w:sz w:val="24"/>
        </w:rPr>
        <w:t>1.申报者在校园网下载并填写《上海工商职业技术学院教学成果奖申报表》（参见附件1），经申报人所在部门对其相关材料进行核查并签署初评意见后交教务处。</w:t>
      </w:r>
    </w:p>
    <w:p>
      <w:pPr>
        <w:pStyle w:val="19"/>
        <w:spacing w:line="360" w:lineRule="auto"/>
        <w:rPr>
          <w:sz w:val="24"/>
        </w:rPr>
      </w:pPr>
      <w:r>
        <w:rPr>
          <w:rFonts w:hint="eastAsia"/>
          <w:sz w:val="24"/>
        </w:rPr>
        <w:t>2.教务处对申报材料进行初步审核，然后由学院教学成果奖评选委员会对申报的成果进行评审。院级教学成果奖由评审委员会以无记名投票方式产生。投票须有评审委员会五分之四以上委员参加方有效。二等奖须有参加投票委员的二分之一以上同意；一等奖从二等奖中产生，并须有参加投票的三分之二以上同意。</w:t>
      </w:r>
    </w:p>
    <w:p>
      <w:pPr>
        <w:pStyle w:val="19"/>
        <w:spacing w:line="360" w:lineRule="auto"/>
        <w:rPr>
          <w:sz w:val="24"/>
        </w:rPr>
      </w:pPr>
      <w:r>
        <w:rPr>
          <w:rFonts w:hint="eastAsia"/>
          <w:sz w:val="24"/>
        </w:rPr>
        <w:t>3．在相同的条件下，向教学第一线且教学效果优良的教师倾斜。</w:t>
      </w:r>
    </w:p>
    <w:p>
      <w:pPr>
        <w:pStyle w:val="19"/>
        <w:spacing w:line="360" w:lineRule="auto"/>
        <w:rPr>
          <w:sz w:val="24"/>
        </w:rPr>
      </w:pPr>
      <w:r>
        <w:rPr>
          <w:rFonts w:hint="eastAsia"/>
          <w:sz w:val="24"/>
        </w:rPr>
        <w:t>4．凡通过审定的教学成果，以适当方式予以公示，公示期为一周。</w:t>
      </w:r>
    </w:p>
    <w:p>
      <w:pPr>
        <w:pStyle w:val="19"/>
        <w:spacing w:line="360" w:lineRule="auto"/>
        <w:rPr>
          <w:sz w:val="24"/>
        </w:rPr>
      </w:pPr>
      <w:r>
        <w:rPr>
          <w:rFonts w:hint="eastAsia"/>
          <w:sz w:val="24"/>
        </w:rPr>
        <w:t>5.公示结束后由院长办公会议审定最终教学成果奖获奖名单和等级，并在学校媒体上予以公布。</w:t>
      </w:r>
    </w:p>
    <w:p>
      <w:pPr>
        <w:pStyle w:val="19"/>
        <w:spacing w:line="360" w:lineRule="auto"/>
        <w:rPr>
          <w:sz w:val="24"/>
        </w:rPr>
      </w:pPr>
      <w:r>
        <w:rPr>
          <w:rFonts w:hint="eastAsia" w:eastAsia="黑体"/>
          <w:bCs/>
          <w:sz w:val="24"/>
        </w:rPr>
        <w:t>第九条</w:t>
      </w:r>
      <w:r>
        <w:rPr>
          <w:rFonts w:hint="eastAsia"/>
          <w:sz w:val="24"/>
        </w:rPr>
        <w:t>对获得院级教学成果奖的集体和个人，学院按下列规定给予奖励：</w:t>
      </w:r>
    </w:p>
    <w:p>
      <w:pPr>
        <w:pStyle w:val="19"/>
        <w:spacing w:line="360" w:lineRule="auto"/>
        <w:rPr>
          <w:sz w:val="24"/>
        </w:rPr>
      </w:pPr>
      <w:r>
        <w:rPr>
          <w:rFonts w:hint="eastAsia"/>
          <w:sz w:val="24"/>
        </w:rPr>
        <w:t>（一）授予个人或集体教学成果奖证书，并奖给一定额度的奖金（参见附件2）。</w:t>
      </w:r>
    </w:p>
    <w:p>
      <w:pPr>
        <w:pStyle w:val="19"/>
        <w:spacing w:line="360" w:lineRule="auto"/>
        <w:rPr>
          <w:sz w:val="24"/>
        </w:rPr>
      </w:pPr>
      <w:r>
        <w:rPr>
          <w:rFonts w:hint="eastAsia"/>
          <w:sz w:val="24"/>
        </w:rPr>
        <w:t>（二）教学成果奖金，归获奖者所有，任何部门或个人不得截留。</w:t>
      </w:r>
    </w:p>
    <w:p>
      <w:pPr>
        <w:pStyle w:val="19"/>
        <w:spacing w:line="360" w:lineRule="auto"/>
        <w:rPr>
          <w:sz w:val="24"/>
        </w:rPr>
      </w:pPr>
      <w:r>
        <w:rPr>
          <w:rFonts w:hint="eastAsia"/>
          <w:sz w:val="24"/>
        </w:rPr>
        <w:t>（三）教学成果奖记入本人业绩档案，作为评定专业技术职务、晋级增薪的一项重要依据。</w:t>
      </w:r>
    </w:p>
    <w:p>
      <w:pPr>
        <w:pStyle w:val="19"/>
        <w:spacing w:line="360" w:lineRule="auto"/>
        <w:rPr>
          <w:sz w:val="24"/>
        </w:rPr>
      </w:pPr>
      <w:r>
        <w:rPr>
          <w:rFonts w:hint="eastAsia" w:eastAsia="黑体"/>
          <w:bCs/>
          <w:sz w:val="24"/>
        </w:rPr>
        <w:t>第十条</w:t>
      </w:r>
      <w:r>
        <w:rPr>
          <w:rFonts w:hint="eastAsia"/>
          <w:sz w:val="24"/>
        </w:rPr>
        <w:t>对于弄虚作假或剽窃他人教学成果的获奖者，由推荐部门负责调查核实，并提出处理意见；学院撤消奖励，收回证书和奖金，并责成有关部门给予行政处分。</w:t>
      </w:r>
    </w:p>
    <w:p>
      <w:pPr>
        <w:pStyle w:val="19"/>
        <w:spacing w:line="360" w:lineRule="auto"/>
        <w:rPr>
          <w:sz w:val="24"/>
        </w:rPr>
      </w:pPr>
      <w:r>
        <w:rPr>
          <w:rFonts w:hint="eastAsia" w:eastAsia="黑体"/>
          <w:bCs/>
          <w:sz w:val="24"/>
        </w:rPr>
        <w:t>第十一条</w:t>
      </w:r>
      <w:r>
        <w:rPr>
          <w:rFonts w:hint="eastAsia"/>
          <w:sz w:val="24"/>
        </w:rPr>
        <w:t>本办法由教务处负责解释。</w:t>
      </w:r>
    </w:p>
    <w:p>
      <w:pPr>
        <w:pStyle w:val="19"/>
        <w:spacing w:line="360" w:lineRule="auto"/>
        <w:rPr>
          <w:sz w:val="24"/>
        </w:rPr>
      </w:pPr>
      <w:r>
        <w:rPr>
          <w:rFonts w:hint="eastAsia" w:eastAsia="黑体"/>
          <w:bCs/>
          <w:sz w:val="24"/>
        </w:rPr>
        <w:t>第十二条</w:t>
      </w:r>
      <w:r>
        <w:rPr>
          <w:rFonts w:hint="eastAsia"/>
          <w:sz w:val="24"/>
        </w:rPr>
        <w:t>本办法自公布之日起试行。</w:t>
      </w:r>
    </w:p>
    <w:p>
      <w:pPr>
        <w:pStyle w:val="3"/>
        <w:spacing w:line="360" w:lineRule="auto"/>
        <w:ind w:left="0" w:leftChars="0" w:firstLine="480" w:firstLineChars="200"/>
        <w:rPr>
          <w:rFonts w:ascii="Times New Roman"/>
          <w:sz w:val="24"/>
          <w:szCs w:val="24"/>
        </w:rPr>
      </w:pPr>
      <w:r>
        <w:rPr>
          <w:rFonts w:hint="eastAsia"/>
          <w:sz w:val="24"/>
          <w:szCs w:val="24"/>
        </w:rPr>
        <w:t>附件</w:t>
      </w:r>
      <w:r>
        <w:rPr>
          <w:rFonts w:ascii="Times New Roman"/>
          <w:sz w:val="24"/>
          <w:szCs w:val="24"/>
        </w:rPr>
        <w:t>1：</w:t>
      </w:r>
      <w:r>
        <w:rPr>
          <w:rFonts w:hint="eastAsia" w:ascii="Times New Roman"/>
          <w:sz w:val="24"/>
          <w:szCs w:val="24"/>
        </w:rPr>
        <w:t>上海工商职业技术学院教学成果奖奖励办法（修订）</w:t>
      </w:r>
    </w:p>
    <w:p>
      <w:pPr>
        <w:pStyle w:val="3"/>
        <w:spacing w:line="360" w:lineRule="auto"/>
        <w:ind w:left="0" w:leftChars="0" w:firstLine="480" w:firstLineChars="200"/>
        <w:rPr>
          <w:rFonts w:ascii="Times New Roman"/>
          <w:sz w:val="24"/>
          <w:szCs w:val="24"/>
        </w:rPr>
      </w:pPr>
      <w:r>
        <w:rPr>
          <w:rFonts w:ascii="Times New Roman"/>
          <w:sz w:val="24"/>
          <w:szCs w:val="24"/>
        </w:rPr>
        <w:t>附件2</w:t>
      </w:r>
      <w:r>
        <w:rPr>
          <w:rFonts w:hint="eastAsia" w:ascii="Times New Roman"/>
          <w:sz w:val="24"/>
          <w:szCs w:val="24"/>
        </w:rPr>
        <w:t>：</w:t>
      </w:r>
      <w:r>
        <w:rPr>
          <w:rFonts w:ascii="Times New Roman"/>
          <w:sz w:val="24"/>
          <w:szCs w:val="24"/>
        </w:rPr>
        <w:t>上海工商职业技术学院教学成果奖申报表</w:t>
      </w:r>
      <w:r>
        <w:rPr>
          <w:rFonts w:ascii="Times New Roman"/>
          <w:sz w:val="24"/>
          <w:szCs w:val="24"/>
        </w:rPr>
        <w:tab/>
      </w:r>
    </w:p>
    <w:p>
      <w:pPr>
        <w:rPr>
          <w:szCs w:val="21"/>
        </w:rPr>
      </w:pPr>
    </w:p>
    <w:p>
      <w:pPr>
        <w:widowControl/>
        <w:jc w:val="left"/>
        <w:rPr>
          <w:szCs w:val="21"/>
        </w:rPr>
      </w:pPr>
    </w:p>
    <w:p>
      <w:pPr>
        <w:rPr>
          <w:sz w:val="24"/>
        </w:rPr>
      </w:pPr>
      <w:r>
        <w:rPr>
          <w:rFonts w:hint="eastAsia"/>
          <w:sz w:val="24"/>
        </w:rPr>
        <w:t>附件1</w:t>
      </w:r>
    </w:p>
    <w:p>
      <w:pPr>
        <w:ind w:firstLine="720"/>
        <w:jc w:val="center"/>
        <w:rPr>
          <w:rFonts w:eastAsia="华文中宋"/>
          <w:bCs/>
          <w:sz w:val="32"/>
        </w:rPr>
      </w:pPr>
      <w:r>
        <w:rPr>
          <w:rFonts w:hint="eastAsia" w:eastAsia="华文中宋"/>
          <w:bCs/>
          <w:sz w:val="32"/>
        </w:rPr>
        <w:t>上海工商职业技术学院</w:t>
      </w:r>
    </w:p>
    <w:p>
      <w:pPr>
        <w:ind w:firstLine="720"/>
        <w:jc w:val="center"/>
        <w:rPr>
          <w:rFonts w:eastAsia="华文中宋"/>
          <w:bCs/>
          <w:sz w:val="32"/>
        </w:rPr>
      </w:pPr>
      <w:r>
        <w:rPr>
          <w:rFonts w:hint="eastAsia" w:eastAsia="华文中宋"/>
          <w:bCs/>
          <w:sz w:val="32"/>
        </w:rPr>
        <w:t>教学成果奖奖励办法（修订）</w:t>
      </w:r>
    </w:p>
    <w:p>
      <w:pPr>
        <w:shd w:val="clear" w:color="auto" w:fill="FFFFFF"/>
        <w:adjustRightInd w:val="0"/>
        <w:snapToGrid w:val="0"/>
        <w:spacing w:line="360" w:lineRule="auto"/>
        <w:ind w:right="-57" w:rightChars="-27" w:firstLine="480" w:firstLineChars="200"/>
        <w:rPr>
          <w:rFonts w:ascii="宋体" w:hAnsi="宋体"/>
          <w:sz w:val="24"/>
        </w:rPr>
      </w:pPr>
    </w:p>
    <w:p>
      <w:pPr>
        <w:shd w:val="clear" w:color="auto" w:fill="FFFFFF"/>
        <w:adjustRightInd w:val="0"/>
        <w:snapToGrid w:val="0"/>
        <w:spacing w:line="360" w:lineRule="auto"/>
        <w:ind w:right="-57" w:rightChars="-27" w:firstLine="480" w:firstLineChars="200"/>
        <w:rPr>
          <w:rFonts w:ascii="宋体" w:hAnsi="宋体"/>
          <w:color w:val="000000" w:themeColor="text1"/>
          <w:sz w:val="24"/>
        </w:rPr>
      </w:pPr>
      <w:r>
        <w:rPr>
          <w:rFonts w:hint="eastAsia" w:ascii="宋体" w:hAnsi="宋体"/>
          <w:color w:val="000000" w:themeColor="text1"/>
          <w:sz w:val="24"/>
        </w:rPr>
        <w:t>根据2014年教务处出台的文件《海工商职业技术学院教学成果奖评选及奖励办法》[教务〔2014〕1号]，结合学院目前发展需要的实际情况，特修订了其中关于奖励的部分条款，具体如下：</w:t>
      </w:r>
    </w:p>
    <w:p>
      <w:pPr>
        <w:shd w:val="clear" w:color="auto" w:fill="FFFFFF"/>
        <w:adjustRightInd w:val="0"/>
        <w:snapToGrid w:val="0"/>
        <w:spacing w:line="360" w:lineRule="auto"/>
        <w:ind w:right="-57" w:rightChars="-27" w:firstLine="480" w:firstLineChars="200"/>
        <w:rPr>
          <w:rFonts w:ascii="宋体" w:hAnsi="宋体"/>
          <w:color w:val="000000" w:themeColor="text1"/>
          <w:sz w:val="24"/>
        </w:rPr>
      </w:pPr>
      <w:r>
        <w:rPr>
          <w:rFonts w:hint="eastAsia" w:ascii="宋体" w:hAnsi="宋体"/>
          <w:color w:val="000000" w:themeColor="text1"/>
          <w:sz w:val="24"/>
        </w:rPr>
        <w:t>1.院教学成果奖设特等奖、一等奖、二等奖三个等级。</w:t>
      </w:r>
    </w:p>
    <w:p>
      <w:pPr>
        <w:shd w:val="clear" w:color="auto" w:fill="FFFFFF"/>
        <w:adjustRightInd w:val="0"/>
        <w:snapToGrid w:val="0"/>
        <w:spacing w:line="360" w:lineRule="auto"/>
        <w:ind w:right="-57" w:rightChars="-27" w:firstLine="480" w:firstLineChars="200"/>
        <w:rPr>
          <w:rFonts w:ascii="宋体" w:hAnsi="宋体"/>
          <w:color w:val="000000" w:themeColor="text1"/>
          <w:sz w:val="24"/>
        </w:rPr>
      </w:pPr>
      <w:r>
        <w:rPr>
          <w:rFonts w:hint="eastAsia" w:ascii="宋体" w:hAnsi="宋体"/>
          <w:color w:val="000000" w:themeColor="text1"/>
          <w:sz w:val="24"/>
        </w:rPr>
        <w:t>2.获得院教学成果奖的完成人，将其获奖记录记入本人个人业务档案，作为评选学校教师骨干岗位，晋升职称、选拔进修和评优的重要条件之一。</w:t>
      </w:r>
    </w:p>
    <w:p>
      <w:pPr>
        <w:shd w:val="clear" w:color="auto" w:fill="FFFFFF"/>
        <w:adjustRightInd w:val="0"/>
        <w:snapToGrid w:val="0"/>
        <w:spacing w:line="360" w:lineRule="auto"/>
        <w:ind w:right="-57" w:rightChars="-27" w:firstLine="480" w:firstLineChars="200"/>
        <w:rPr>
          <w:rFonts w:ascii="宋体" w:hAnsi="宋体"/>
          <w:color w:val="000000" w:themeColor="text1"/>
          <w:sz w:val="24"/>
        </w:rPr>
      </w:pPr>
      <w:r>
        <w:rPr>
          <w:rFonts w:hint="eastAsia" w:ascii="宋体" w:hAnsi="宋体"/>
          <w:color w:val="000000" w:themeColor="text1"/>
          <w:sz w:val="24"/>
        </w:rPr>
        <w:t>3.对获得院教学成果奖的集体和个人，学院为其颁发荣誉证书和奖金。每个项目颁发奖金（税前）：特等奖8000元，一等奖6000元，二等奖4000元。</w:t>
      </w:r>
    </w:p>
    <w:p>
      <w:pPr>
        <w:shd w:val="clear" w:color="auto" w:fill="FFFFFF"/>
        <w:adjustRightInd w:val="0"/>
        <w:snapToGrid w:val="0"/>
        <w:spacing w:afterLines="50" w:line="360" w:lineRule="auto"/>
        <w:ind w:right="-57" w:rightChars="-27" w:firstLine="480" w:firstLineChars="200"/>
        <w:rPr>
          <w:rFonts w:ascii="宋体" w:hAnsi="宋体"/>
          <w:color w:val="000000" w:themeColor="text1"/>
          <w:sz w:val="24"/>
        </w:rPr>
      </w:pPr>
      <w:r>
        <w:rPr>
          <w:rFonts w:hint="eastAsia" w:ascii="宋体" w:hAnsi="宋体"/>
          <w:color w:val="000000" w:themeColor="text1"/>
          <w:sz w:val="24"/>
        </w:rPr>
        <w:t>4.获得市级和国家级教学成果奖，除上级部门给予的奖励外，对本院为第一完成单位和第一完成人的获奖项目学校将按获奖等级予以配套奖励，奖励金额（万元）见表一。</w:t>
      </w:r>
    </w:p>
    <w:p>
      <w:pPr>
        <w:shd w:val="clear" w:color="auto" w:fill="FFFFFF"/>
        <w:adjustRightInd w:val="0"/>
        <w:snapToGrid w:val="0"/>
        <w:spacing w:afterLines="50" w:line="360" w:lineRule="auto"/>
        <w:ind w:right="-57" w:rightChars="-27" w:firstLine="1320" w:firstLineChars="550"/>
        <w:rPr>
          <w:rFonts w:ascii="宋体" w:hAnsi="宋体"/>
          <w:color w:val="000000" w:themeColor="text1"/>
          <w:sz w:val="24"/>
        </w:rPr>
      </w:pPr>
      <w:r>
        <w:rPr>
          <w:rFonts w:hint="eastAsia" w:ascii="宋体" w:hAnsi="宋体"/>
          <w:color w:val="000000" w:themeColor="text1"/>
          <w:sz w:val="24"/>
        </w:rPr>
        <w:t>表一   市级及以上教学成果奖配套奖励标准单位：万元</w:t>
      </w:r>
    </w:p>
    <w:tbl>
      <w:tblPr>
        <w:tblStyle w:val="8"/>
        <w:tblW w:w="805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12"/>
        <w:gridCol w:w="2108"/>
        <w:gridCol w:w="1542"/>
        <w:gridCol w:w="1563"/>
        <w:gridCol w:w="15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12" w:type="dxa"/>
            <w:tcBorders>
              <w:top w:val="single" w:color="auto" w:sz="12" w:space="0"/>
              <w:bottom w:val="single" w:color="auto" w:sz="12" w:space="0"/>
            </w:tcBorders>
            <w:vAlign w:val="center"/>
          </w:tcPr>
          <w:p>
            <w:pPr>
              <w:shd w:val="clear" w:color="auto" w:fill="FFFFFF"/>
              <w:adjustRightInd w:val="0"/>
              <w:snapToGrid w:val="0"/>
              <w:spacing w:line="360" w:lineRule="auto"/>
              <w:ind w:right="-57" w:rightChars="-27"/>
              <w:jc w:val="center"/>
              <w:rPr>
                <w:rFonts w:ascii="宋体" w:hAnsi="宋体"/>
                <w:color w:val="000000" w:themeColor="text1"/>
                <w:sz w:val="24"/>
              </w:rPr>
            </w:pPr>
            <w:r>
              <w:rPr>
                <w:rFonts w:hint="eastAsia" w:ascii="宋体" w:hAnsi="宋体"/>
                <w:color w:val="000000" w:themeColor="text1"/>
                <w:sz w:val="24"/>
              </w:rPr>
              <w:t>级  别</w:t>
            </w:r>
          </w:p>
        </w:tc>
        <w:tc>
          <w:tcPr>
            <w:tcW w:w="2108" w:type="dxa"/>
            <w:tcBorders>
              <w:top w:val="single" w:color="auto" w:sz="12" w:space="0"/>
              <w:bottom w:val="single" w:color="auto" w:sz="12" w:space="0"/>
            </w:tcBorders>
            <w:vAlign w:val="center"/>
          </w:tcPr>
          <w:p>
            <w:pPr>
              <w:shd w:val="clear" w:color="auto" w:fill="FFFFFF"/>
              <w:adjustRightInd w:val="0"/>
              <w:snapToGrid w:val="0"/>
              <w:spacing w:line="360" w:lineRule="auto"/>
              <w:ind w:right="-57" w:rightChars="-27"/>
              <w:jc w:val="center"/>
              <w:rPr>
                <w:rFonts w:ascii="宋体" w:hAnsi="宋体"/>
                <w:color w:val="000000" w:themeColor="text1"/>
                <w:sz w:val="24"/>
              </w:rPr>
            </w:pPr>
            <w:r>
              <w:rPr>
                <w:rFonts w:hint="eastAsia" w:ascii="宋体" w:hAnsi="宋体"/>
                <w:color w:val="000000" w:themeColor="text1"/>
                <w:sz w:val="24"/>
              </w:rPr>
              <w:t>奖  项</w:t>
            </w:r>
          </w:p>
        </w:tc>
        <w:tc>
          <w:tcPr>
            <w:tcW w:w="1542" w:type="dxa"/>
            <w:tcBorders>
              <w:top w:val="single" w:color="auto" w:sz="12" w:space="0"/>
              <w:bottom w:val="single" w:color="auto" w:sz="12" w:space="0"/>
            </w:tcBorders>
            <w:vAlign w:val="center"/>
          </w:tcPr>
          <w:p>
            <w:pPr>
              <w:shd w:val="clear" w:color="auto" w:fill="FFFFFF"/>
              <w:adjustRightInd w:val="0"/>
              <w:snapToGrid w:val="0"/>
              <w:spacing w:line="360" w:lineRule="auto"/>
              <w:ind w:right="-57" w:rightChars="-27"/>
              <w:jc w:val="center"/>
              <w:rPr>
                <w:rFonts w:ascii="宋体" w:hAnsi="宋体"/>
                <w:color w:val="000000" w:themeColor="text1"/>
                <w:sz w:val="24"/>
              </w:rPr>
            </w:pPr>
            <w:r>
              <w:rPr>
                <w:rFonts w:hint="eastAsia" w:ascii="宋体" w:hAnsi="宋体"/>
                <w:color w:val="000000" w:themeColor="text1"/>
                <w:sz w:val="24"/>
              </w:rPr>
              <w:t>特 等 奖</w:t>
            </w:r>
          </w:p>
        </w:tc>
        <w:tc>
          <w:tcPr>
            <w:tcW w:w="1563" w:type="dxa"/>
            <w:tcBorders>
              <w:top w:val="single" w:color="auto" w:sz="12" w:space="0"/>
              <w:bottom w:val="single" w:color="auto" w:sz="12" w:space="0"/>
            </w:tcBorders>
            <w:vAlign w:val="center"/>
          </w:tcPr>
          <w:p>
            <w:pPr>
              <w:shd w:val="clear" w:color="auto" w:fill="FFFFFF"/>
              <w:adjustRightInd w:val="0"/>
              <w:snapToGrid w:val="0"/>
              <w:spacing w:line="360" w:lineRule="auto"/>
              <w:ind w:right="-57" w:rightChars="-27"/>
              <w:jc w:val="center"/>
              <w:rPr>
                <w:rFonts w:ascii="宋体" w:hAnsi="宋体"/>
                <w:color w:val="000000" w:themeColor="text1"/>
                <w:sz w:val="24"/>
              </w:rPr>
            </w:pPr>
            <w:r>
              <w:rPr>
                <w:rFonts w:hint="eastAsia" w:ascii="宋体" w:hAnsi="宋体"/>
                <w:color w:val="000000" w:themeColor="text1"/>
                <w:sz w:val="24"/>
              </w:rPr>
              <w:t>一 等 奖</w:t>
            </w:r>
          </w:p>
        </w:tc>
        <w:tc>
          <w:tcPr>
            <w:tcW w:w="1526" w:type="dxa"/>
            <w:tcBorders>
              <w:top w:val="single" w:color="auto" w:sz="12" w:space="0"/>
              <w:bottom w:val="single" w:color="auto" w:sz="12" w:space="0"/>
            </w:tcBorders>
            <w:vAlign w:val="center"/>
          </w:tcPr>
          <w:p>
            <w:pPr>
              <w:shd w:val="clear" w:color="auto" w:fill="FFFFFF"/>
              <w:adjustRightInd w:val="0"/>
              <w:snapToGrid w:val="0"/>
              <w:spacing w:line="360" w:lineRule="auto"/>
              <w:ind w:right="-57" w:rightChars="-27"/>
              <w:jc w:val="center"/>
              <w:rPr>
                <w:rFonts w:ascii="宋体" w:hAnsi="宋体"/>
                <w:color w:val="000000" w:themeColor="text1"/>
                <w:sz w:val="24"/>
              </w:rPr>
            </w:pPr>
            <w:r>
              <w:rPr>
                <w:rFonts w:hint="eastAsia" w:ascii="宋体" w:hAnsi="宋体"/>
                <w:color w:val="000000" w:themeColor="text1"/>
                <w:sz w:val="24"/>
              </w:rPr>
              <w:t>二 等 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12" w:type="dxa"/>
            <w:tcBorders>
              <w:top w:val="single" w:color="auto" w:sz="12" w:space="0"/>
            </w:tcBorders>
            <w:vAlign w:val="center"/>
          </w:tcPr>
          <w:p>
            <w:pPr>
              <w:shd w:val="clear" w:color="auto" w:fill="FFFFFF"/>
              <w:adjustRightInd w:val="0"/>
              <w:snapToGrid w:val="0"/>
              <w:spacing w:line="360" w:lineRule="auto"/>
              <w:ind w:right="-57" w:rightChars="-27"/>
              <w:jc w:val="center"/>
              <w:rPr>
                <w:rFonts w:ascii="宋体" w:hAnsi="宋体"/>
                <w:color w:val="000000" w:themeColor="text1"/>
                <w:sz w:val="24"/>
              </w:rPr>
            </w:pPr>
            <w:r>
              <w:rPr>
                <w:rFonts w:hint="eastAsia" w:ascii="宋体" w:hAnsi="宋体"/>
                <w:color w:val="000000" w:themeColor="text1"/>
                <w:sz w:val="24"/>
              </w:rPr>
              <w:t>国家级</w:t>
            </w:r>
          </w:p>
        </w:tc>
        <w:tc>
          <w:tcPr>
            <w:tcW w:w="2108" w:type="dxa"/>
            <w:tcBorders>
              <w:top w:val="single" w:color="auto" w:sz="12" w:space="0"/>
            </w:tcBorders>
            <w:vAlign w:val="center"/>
          </w:tcPr>
          <w:p>
            <w:pPr>
              <w:shd w:val="clear" w:color="auto" w:fill="FFFFFF"/>
              <w:adjustRightInd w:val="0"/>
              <w:snapToGrid w:val="0"/>
              <w:spacing w:line="360" w:lineRule="auto"/>
              <w:ind w:right="-57" w:rightChars="-27"/>
              <w:jc w:val="center"/>
              <w:rPr>
                <w:rFonts w:ascii="宋体" w:hAnsi="宋体"/>
                <w:color w:val="000000" w:themeColor="text1"/>
                <w:sz w:val="24"/>
              </w:rPr>
            </w:pPr>
            <w:r>
              <w:rPr>
                <w:rFonts w:hint="eastAsia" w:ascii="宋体" w:hAnsi="宋体"/>
                <w:color w:val="000000" w:themeColor="text1"/>
                <w:sz w:val="24"/>
              </w:rPr>
              <w:t>教学成果奖</w:t>
            </w:r>
          </w:p>
        </w:tc>
        <w:tc>
          <w:tcPr>
            <w:tcW w:w="1542" w:type="dxa"/>
            <w:tcBorders>
              <w:top w:val="single" w:color="auto" w:sz="12" w:space="0"/>
            </w:tcBorders>
            <w:vAlign w:val="center"/>
          </w:tcPr>
          <w:p>
            <w:pPr>
              <w:shd w:val="clear" w:color="auto" w:fill="FFFFFF"/>
              <w:adjustRightInd w:val="0"/>
              <w:snapToGrid w:val="0"/>
              <w:spacing w:line="360" w:lineRule="auto"/>
              <w:ind w:right="-57" w:rightChars="-27"/>
              <w:jc w:val="center"/>
              <w:rPr>
                <w:rFonts w:ascii="宋体" w:hAnsi="宋体"/>
                <w:color w:val="000000" w:themeColor="text1"/>
                <w:sz w:val="24"/>
              </w:rPr>
            </w:pPr>
            <w:r>
              <w:rPr>
                <w:rFonts w:hint="eastAsia" w:ascii="宋体" w:hAnsi="宋体"/>
                <w:color w:val="000000" w:themeColor="text1"/>
                <w:sz w:val="24"/>
              </w:rPr>
              <w:t>5</w:t>
            </w:r>
          </w:p>
        </w:tc>
        <w:tc>
          <w:tcPr>
            <w:tcW w:w="1563" w:type="dxa"/>
            <w:tcBorders>
              <w:top w:val="single" w:color="auto" w:sz="12" w:space="0"/>
            </w:tcBorders>
            <w:vAlign w:val="center"/>
          </w:tcPr>
          <w:p>
            <w:pPr>
              <w:shd w:val="clear" w:color="auto" w:fill="FFFFFF"/>
              <w:adjustRightInd w:val="0"/>
              <w:snapToGrid w:val="0"/>
              <w:spacing w:line="360" w:lineRule="auto"/>
              <w:ind w:right="-57" w:rightChars="-27"/>
              <w:jc w:val="center"/>
              <w:rPr>
                <w:rFonts w:ascii="宋体" w:hAnsi="宋体"/>
                <w:color w:val="000000" w:themeColor="text1"/>
                <w:sz w:val="24"/>
              </w:rPr>
            </w:pPr>
            <w:r>
              <w:rPr>
                <w:rFonts w:hint="eastAsia" w:ascii="宋体" w:hAnsi="宋体"/>
                <w:color w:val="000000" w:themeColor="text1"/>
                <w:sz w:val="24"/>
              </w:rPr>
              <w:t>4</w:t>
            </w:r>
          </w:p>
        </w:tc>
        <w:tc>
          <w:tcPr>
            <w:tcW w:w="1526" w:type="dxa"/>
            <w:tcBorders>
              <w:top w:val="single" w:color="auto" w:sz="12" w:space="0"/>
            </w:tcBorders>
            <w:vAlign w:val="center"/>
          </w:tcPr>
          <w:p>
            <w:pPr>
              <w:shd w:val="clear" w:color="auto" w:fill="FFFFFF"/>
              <w:adjustRightInd w:val="0"/>
              <w:snapToGrid w:val="0"/>
              <w:spacing w:line="360" w:lineRule="auto"/>
              <w:ind w:right="-57" w:rightChars="-27"/>
              <w:jc w:val="center"/>
              <w:rPr>
                <w:rFonts w:ascii="宋体" w:hAnsi="宋体"/>
                <w:color w:val="000000" w:themeColor="text1"/>
                <w:sz w:val="24"/>
              </w:rPr>
            </w:pPr>
            <w:r>
              <w:rPr>
                <w:rFonts w:hint="eastAsia" w:ascii="宋体" w:hAnsi="宋体"/>
                <w:color w:val="000000" w:themeColor="text1"/>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1312" w:type="dxa"/>
            <w:vAlign w:val="center"/>
          </w:tcPr>
          <w:p>
            <w:pPr>
              <w:shd w:val="clear" w:color="auto" w:fill="FFFFFF"/>
              <w:adjustRightInd w:val="0"/>
              <w:snapToGrid w:val="0"/>
              <w:spacing w:line="360" w:lineRule="auto"/>
              <w:ind w:right="-57" w:rightChars="-27"/>
              <w:jc w:val="center"/>
              <w:rPr>
                <w:rFonts w:ascii="宋体" w:hAnsi="宋体"/>
                <w:color w:val="000000" w:themeColor="text1"/>
                <w:sz w:val="24"/>
              </w:rPr>
            </w:pPr>
            <w:r>
              <w:rPr>
                <w:rFonts w:hint="eastAsia" w:ascii="宋体" w:hAnsi="宋体"/>
                <w:color w:val="000000" w:themeColor="text1"/>
                <w:sz w:val="24"/>
              </w:rPr>
              <w:t>市  级</w:t>
            </w:r>
          </w:p>
        </w:tc>
        <w:tc>
          <w:tcPr>
            <w:tcW w:w="2108" w:type="dxa"/>
            <w:vAlign w:val="center"/>
          </w:tcPr>
          <w:p>
            <w:pPr>
              <w:shd w:val="clear" w:color="auto" w:fill="FFFFFF"/>
              <w:adjustRightInd w:val="0"/>
              <w:snapToGrid w:val="0"/>
              <w:spacing w:line="360" w:lineRule="auto"/>
              <w:ind w:right="-57" w:rightChars="-27"/>
              <w:jc w:val="center"/>
              <w:rPr>
                <w:rFonts w:ascii="宋体" w:hAnsi="宋体"/>
                <w:color w:val="000000" w:themeColor="text1"/>
                <w:sz w:val="24"/>
              </w:rPr>
            </w:pPr>
            <w:r>
              <w:rPr>
                <w:rFonts w:hint="eastAsia" w:ascii="宋体" w:hAnsi="宋体"/>
                <w:color w:val="000000" w:themeColor="text1"/>
                <w:sz w:val="24"/>
              </w:rPr>
              <w:t>教学成果奖</w:t>
            </w:r>
          </w:p>
        </w:tc>
        <w:tc>
          <w:tcPr>
            <w:tcW w:w="1542" w:type="dxa"/>
            <w:vAlign w:val="center"/>
          </w:tcPr>
          <w:p>
            <w:pPr>
              <w:shd w:val="clear" w:color="auto" w:fill="FFFFFF"/>
              <w:adjustRightInd w:val="0"/>
              <w:snapToGrid w:val="0"/>
              <w:spacing w:line="360" w:lineRule="auto"/>
              <w:ind w:right="-57" w:rightChars="-27"/>
              <w:jc w:val="center"/>
              <w:rPr>
                <w:rFonts w:ascii="宋体" w:hAnsi="宋体"/>
                <w:color w:val="000000" w:themeColor="text1"/>
                <w:sz w:val="24"/>
              </w:rPr>
            </w:pPr>
            <w:r>
              <w:rPr>
                <w:rFonts w:hint="eastAsia" w:ascii="宋体" w:hAnsi="宋体"/>
                <w:color w:val="000000" w:themeColor="text1"/>
                <w:sz w:val="24"/>
              </w:rPr>
              <w:t>3</w:t>
            </w:r>
          </w:p>
        </w:tc>
        <w:tc>
          <w:tcPr>
            <w:tcW w:w="1563" w:type="dxa"/>
            <w:vAlign w:val="center"/>
          </w:tcPr>
          <w:p>
            <w:pPr>
              <w:shd w:val="clear" w:color="auto" w:fill="FFFFFF"/>
              <w:adjustRightInd w:val="0"/>
              <w:snapToGrid w:val="0"/>
              <w:spacing w:line="360" w:lineRule="auto"/>
              <w:ind w:right="-57" w:rightChars="-27"/>
              <w:jc w:val="center"/>
              <w:rPr>
                <w:rFonts w:ascii="宋体" w:hAnsi="宋体"/>
                <w:color w:val="000000" w:themeColor="text1"/>
                <w:sz w:val="24"/>
              </w:rPr>
            </w:pPr>
            <w:r>
              <w:rPr>
                <w:rFonts w:hint="eastAsia" w:ascii="宋体" w:hAnsi="宋体"/>
                <w:color w:val="000000" w:themeColor="text1"/>
                <w:sz w:val="24"/>
              </w:rPr>
              <w:t>2</w:t>
            </w:r>
          </w:p>
        </w:tc>
        <w:tc>
          <w:tcPr>
            <w:tcW w:w="1526" w:type="dxa"/>
            <w:vAlign w:val="center"/>
          </w:tcPr>
          <w:p>
            <w:pPr>
              <w:shd w:val="clear" w:color="auto" w:fill="FFFFFF"/>
              <w:adjustRightInd w:val="0"/>
              <w:snapToGrid w:val="0"/>
              <w:spacing w:line="360" w:lineRule="auto"/>
              <w:ind w:right="-57" w:rightChars="-27"/>
              <w:jc w:val="center"/>
              <w:rPr>
                <w:rFonts w:ascii="宋体" w:hAnsi="宋体"/>
                <w:color w:val="000000" w:themeColor="text1"/>
                <w:sz w:val="24"/>
              </w:rPr>
            </w:pPr>
            <w:r>
              <w:rPr>
                <w:rFonts w:hint="eastAsia" w:ascii="宋体" w:hAnsi="宋体"/>
                <w:color w:val="000000" w:themeColor="text1"/>
                <w:sz w:val="24"/>
              </w:rPr>
              <w:t>1</w:t>
            </w:r>
          </w:p>
        </w:tc>
      </w:tr>
    </w:tbl>
    <w:p>
      <w:pPr>
        <w:shd w:val="clear" w:color="auto" w:fill="FFFFFF"/>
        <w:adjustRightInd w:val="0"/>
        <w:snapToGrid w:val="0"/>
        <w:spacing w:line="360" w:lineRule="auto"/>
        <w:ind w:left="460" w:leftChars="219" w:right="-57" w:rightChars="-27" w:firstLine="120" w:firstLineChars="50"/>
        <w:rPr>
          <w:rFonts w:ascii="宋体" w:hAnsi="宋体"/>
          <w:color w:val="000000" w:themeColor="text1"/>
          <w:sz w:val="24"/>
        </w:rPr>
      </w:pPr>
    </w:p>
    <w:p>
      <w:pPr>
        <w:shd w:val="clear" w:color="auto" w:fill="FFFFFF"/>
        <w:adjustRightInd w:val="0"/>
        <w:snapToGrid w:val="0"/>
        <w:spacing w:line="360" w:lineRule="auto"/>
        <w:ind w:left="460" w:leftChars="219" w:right="-57" w:rightChars="-27" w:firstLine="120" w:firstLineChars="50"/>
        <w:rPr>
          <w:rFonts w:ascii="宋体" w:hAnsi="宋体"/>
          <w:color w:val="000000" w:themeColor="text1"/>
          <w:sz w:val="24"/>
        </w:rPr>
      </w:pPr>
      <w:r>
        <w:rPr>
          <w:rFonts w:hint="eastAsia" w:ascii="宋体" w:hAnsi="宋体"/>
          <w:color w:val="000000" w:themeColor="text1"/>
          <w:sz w:val="24"/>
        </w:rPr>
        <w:t>5．本院为第二完成单位所获得各类奖项，按上述奖励金额的50%予以配套奖励；本院为第三完成单位按20%予以奖励。</w:t>
      </w:r>
    </w:p>
    <w:p>
      <w:pPr>
        <w:shd w:val="clear" w:color="auto" w:fill="FFFFFF"/>
        <w:adjustRightInd w:val="0"/>
        <w:snapToGrid w:val="0"/>
        <w:spacing w:line="360" w:lineRule="auto"/>
        <w:ind w:left="460" w:leftChars="219" w:right="-57" w:rightChars="-27" w:firstLine="120" w:firstLineChars="50"/>
        <w:rPr>
          <w:rFonts w:ascii="宋体" w:hAnsi="宋体"/>
          <w:color w:val="000000" w:themeColor="text1"/>
          <w:sz w:val="24"/>
        </w:rPr>
      </w:pPr>
      <w:r>
        <w:rPr>
          <w:rFonts w:hint="eastAsia" w:ascii="宋体" w:hAnsi="宋体"/>
          <w:color w:val="000000" w:themeColor="text1"/>
          <w:sz w:val="24"/>
        </w:rPr>
        <w:t>6．学院评选出的教学成果奖升级为市级、国家级教学成果奖时，已获学校成果奖的奖励将在学校配套奖励中予以扣除。</w:t>
      </w:r>
    </w:p>
    <w:p>
      <w:pPr>
        <w:spacing w:beforeLines="100" w:line="360" w:lineRule="auto"/>
        <w:ind w:right="480" w:firstLine="3480" w:firstLineChars="1450"/>
        <w:jc w:val="center"/>
        <w:rPr>
          <w:rFonts w:ascii="宋体" w:hAnsi="宋体"/>
          <w:color w:val="000000" w:themeColor="text1"/>
          <w:sz w:val="24"/>
        </w:rPr>
      </w:pPr>
    </w:p>
    <w:p>
      <w:pPr>
        <w:rPr>
          <w:sz w:val="24"/>
        </w:rPr>
      </w:pPr>
    </w:p>
    <w:p>
      <w:pPr>
        <w:spacing w:line="336" w:lineRule="auto"/>
        <w:rPr>
          <w:sz w:val="24"/>
        </w:rPr>
      </w:pPr>
      <w:r>
        <w:rPr>
          <w:sz w:val="24"/>
        </w:rPr>
        <w:br w:type="page"/>
      </w:r>
      <w:r>
        <w:rPr>
          <w:rFonts w:hint="eastAsia"/>
          <w:sz w:val="24"/>
        </w:rPr>
        <w:t>附件2</w:t>
      </w:r>
    </w:p>
    <w:p>
      <w:pPr>
        <w:pStyle w:val="18"/>
        <w:spacing w:line="480" w:lineRule="auto"/>
        <w:rPr>
          <w:sz w:val="40"/>
          <w:szCs w:val="32"/>
        </w:rPr>
      </w:pPr>
      <w:r>
        <w:rPr>
          <w:rFonts w:hint="eastAsia"/>
          <w:sz w:val="40"/>
          <w:szCs w:val="32"/>
        </w:rPr>
        <w:t>上海工商职业技术学院</w:t>
      </w:r>
    </w:p>
    <w:p>
      <w:pPr>
        <w:pStyle w:val="18"/>
        <w:spacing w:line="480" w:lineRule="auto"/>
        <w:rPr>
          <w:sz w:val="40"/>
          <w:szCs w:val="32"/>
        </w:rPr>
      </w:pPr>
      <w:r>
        <w:rPr>
          <w:rFonts w:hint="eastAsia"/>
          <w:sz w:val="40"/>
          <w:szCs w:val="32"/>
        </w:rPr>
        <w:t>教学成果奖申报表</w:t>
      </w:r>
    </w:p>
    <w:p>
      <w:pPr>
        <w:spacing w:line="336" w:lineRule="auto"/>
        <w:ind w:firstLine="420"/>
        <w:rPr>
          <w:sz w:val="24"/>
        </w:rPr>
      </w:pPr>
    </w:p>
    <w:p>
      <w:pPr>
        <w:spacing w:line="336" w:lineRule="auto"/>
        <w:ind w:firstLine="420"/>
        <w:rPr>
          <w:sz w:val="24"/>
        </w:rPr>
      </w:pPr>
    </w:p>
    <w:p>
      <w:pPr>
        <w:pStyle w:val="17"/>
        <w:ind w:left="5250"/>
        <w:rPr>
          <w:rFonts w:eastAsia="宋体"/>
        </w:rPr>
      </w:pPr>
    </w:p>
    <w:p>
      <w:pPr>
        <w:spacing w:line="336" w:lineRule="auto"/>
        <w:ind w:firstLine="420"/>
        <w:rPr>
          <w:sz w:val="24"/>
        </w:rPr>
      </w:pPr>
    </w:p>
    <w:p>
      <w:pPr>
        <w:pStyle w:val="17"/>
        <w:ind w:left="5250"/>
        <w:rPr>
          <w:rFonts w:eastAsia="宋体"/>
        </w:rPr>
      </w:pPr>
    </w:p>
    <w:p>
      <w:pPr>
        <w:spacing w:line="336" w:lineRule="auto"/>
        <w:ind w:firstLine="420"/>
        <w:rPr>
          <w:sz w:val="24"/>
        </w:rPr>
      </w:pPr>
    </w:p>
    <w:p>
      <w:pPr>
        <w:spacing w:line="336" w:lineRule="auto"/>
        <w:ind w:firstLine="420"/>
        <w:rPr>
          <w:sz w:val="24"/>
        </w:rPr>
      </w:pPr>
    </w:p>
    <w:p>
      <w:pPr>
        <w:pStyle w:val="17"/>
        <w:ind w:left="5250"/>
        <w:rPr>
          <w:rFonts w:eastAsia="宋体"/>
        </w:rPr>
      </w:pPr>
    </w:p>
    <w:p>
      <w:pPr>
        <w:spacing w:line="336" w:lineRule="auto"/>
        <w:ind w:firstLine="420"/>
        <w:rPr>
          <w:sz w:val="24"/>
        </w:rPr>
      </w:pPr>
    </w:p>
    <w:p>
      <w:pPr>
        <w:spacing w:line="720" w:lineRule="auto"/>
        <w:ind w:firstLine="1276"/>
        <w:rPr>
          <w:sz w:val="28"/>
        </w:rPr>
      </w:pPr>
      <w:r>
        <w:rPr>
          <w:rFonts w:hint="eastAsia"/>
          <w:bCs/>
          <w:spacing w:val="93"/>
          <w:kern w:val="0"/>
          <w:sz w:val="28"/>
          <w:fitText w:val="1678" w:id="1788000512"/>
        </w:rPr>
        <w:t>成果名</w:t>
      </w:r>
      <w:r>
        <w:rPr>
          <w:rFonts w:hint="eastAsia"/>
          <w:bCs/>
          <w:spacing w:val="0"/>
          <w:kern w:val="0"/>
          <w:sz w:val="28"/>
          <w:fitText w:val="1678" w:id="1788000512"/>
        </w:rPr>
        <w:t>称</w:t>
      </w:r>
    </w:p>
    <w:p>
      <w:pPr>
        <w:spacing w:line="720" w:lineRule="auto"/>
        <w:ind w:firstLine="1276"/>
        <w:rPr>
          <w:bCs/>
          <w:sz w:val="28"/>
        </w:rPr>
      </w:pPr>
      <w:r>
        <w:rPr>
          <w:rFonts w:hint="eastAsia"/>
          <w:bCs/>
          <w:spacing w:val="34"/>
          <w:kern w:val="0"/>
          <w:sz w:val="28"/>
          <w:fitText w:val="1678" w:id="1788000513"/>
        </w:rPr>
        <w:t>成果完成</w:t>
      </w:r>
      <w:r>
        <w:rPr>
          <w:rFonts w:hint="eastAsia"/>
          <w:bCs/>
          <w:spacing w:val="3"/>
          <w:kern w:val="0"/>
          <w:sz w:val="28"/>
          <w:fitText w:val="1678" w:id="1788000513"/>
        </w:rPr>
        <w:t>人</w:t>
      </w:r>
    </w:p>
    <w:p>
      <w:pPr>
        <w:spacing w:line="720" w:lineRule="auto"/>
        <w:ind w:firstLine="1276"/>
        <w:rPr>
          <w:sz w:val="28"/>
          <w:u w:val="single"/>
        </w:rPr>
      </w:pPr>
      <w:r>
        <w:rPr>
          <w:rFonts w:hint="eastAsia"/>
          <w:bCs/>
          <w:sz w:val="28"/>
        </w:rPr>
        <w:t>成果完成部门</w:t>
      </w:r>
    </w:p>
    <w:p>
      <w:pPr>
        <w:spacing w:line="720" w:lineRule="auto"/>
        <w:ind w:firstLine="1276"/>
        <w:rPr>
          <w:sz w:val="28"/>
        </w:rPr>
      </w:pPr>
      <w:r>
        <w:rPr>
          <w:rFonts w:hint="eastAsia"/>
          <w:bCs/>
          <w:spacing w:val="93"/>
          <w:kern w:val="0"/>
          <w:sz w:val="28"/>
          <w:fitText w:val="1678" w:id="1788000514"/>
        </w:rPr>
        <w:t>申报等</w:t>
      </w:r>
      <w:r>
        <w:rPr>
          <w:rFonts w:hint="eastAsia"/>
          <w:bCs/>
          <w:spacing w:val="0"/>
          <w:kern w:val="0"/>
          <w:sz w:val="28"/>
          <w:fitText w:val="1678" w:id="1788000514"/>
        </w:rPr>
        <w:t>级</w:t>
      </w:r>
    </w:p>
    <w:p>
      <w:pPr>
        <w:spacing w:line="720" w:lineRule="auto"/>
        <w:ind w:firstLine="1276"/>
        <w:rPr>
          <w:sz w:val="28"/>
          <w:u w:val="single"/>
        </w:rPr>
      </w:pPr>
      <w:r>
        <w:rPr>
          <w:rFonts w:hint="eastAsia"/>
          <w:bCs/>
          <w:spacing w:val="93"/>
          <w:kern w:val="0"/>
          <w:sz w:val="28"/>
          <w:fitText w:val="1678" w:id="1788000515"/>
        </w:rPr>
        <w:t>申报时</w:t>
      </w:r>
      <w:r>
        <w:rPr>
          <w:rFonts w:hint="eastAsia"/>
          <w:bCs/>
          <w:spacing w:val="0"/>
          <w:kern w:val="0"/>
          <w:sz w:val="28"/>
          <w:fitText w:val="1678" w:id="1788000515"/>
        </w:rPr>
        <w:t>间</w:t>
      </w:r>
    </w:p>
    <w:p>
      <w:pPr>
        <w:spacing w:line="336" w:lineRule="auto"/>
        <w:ind w:firstLine="420"/>
        <w:rPr>
          <w:sz w:val="24"/>
        </w:rPr>
      </w:pPr>
    </w:p>
    <w:p>
      <w:pPr>
        <w:spacing w:line="336" w:lineRule="auto"/>
        <w:ind w:firstLine="420"/>
        <w:rPr>
          <w:sz w:val="24"/>
        </w:rPr>
      </w:pPr>
    </w:p>
    <w:p>
      <w:pPr>
        <w:spacing w:line="336" w:lineRule="auto"/>
        <w:rPr>
          <w:sz w:val="24"/>
        </w:rPr>
      </w:pPr>
    </w:p>
    <w:p>
      <w:pPr>
        <w:spacing w:line="336" w:lineRule="auto"/>
        <w:jc w:val="center"/>
        <w:rPr>
          <w:rFonts w:eastAsia="黑体"/>
          <w:sz w:val="32"/>
        </w:rPr>
      </w:pPr>
      <w:r>
        <w:rPr>
          <w:rFonts w:hint="eastAsia" w:eastAsia="黑体"/>
          <w:sz w:val="32"/>
        </w:rPr>
        <w:t>教务处制</w:t>
      </w:r>
    </w:p>
    <w:p>
      <w:pPr>
        <w:spacing w:line="336" w:lineRule="auto"/>
        <w:ind w:firstLine="420"/>
        <w:rPr>
          <w:sz w:val="24"/>
        </w:rPr>
      </w:pPr>
      <w:r>
        <w:rPr>
          <w:sz w:val="24"/>
        </w:rPr>
        <w:br w:type="page"/>
      </w:r>
      <w:r>
        <w:rPr>
          <w:rFonts w:hint="eastAsia"/>
          <w:sz w:val="24"/>
        </w:rPr>
        <w:t>一、成果简介</w:t>
      </w:r>
    </w:p>
    <w:tbl>
      <w:tblPr>
        <w:tblStyle w:val="8"/>
        <w:tblW w:w="85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2"/>
        <w:gridCol w:w="735"/>
        <w:gridCol w:w="70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497" w:type="dxa"/>
            <w:gridSpan w:val="2"/>
            <w:vAlign w:val="center"/>
          </w:tcPr>
          <w:p>
            <w:pPr>
              <w:jc w:val="center"/>
            </w:pPr>
            <w:r>
              <w:rPr>
                <w:rFonts w:hint="eastAsia"/>
              </w:rPr>
              <w:t>成果名称</w:t>
            </w:r>
          </w:p>
        </w:tc>
        <w:tc>
          <w:tcPr>
            <w:tcW w:w="706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497" w:type="dxa"/>
            <w:gridSpan w:val="2"/>
            <w:vAlign w:val="center"/>
          </w:tcPr>
          <w:p>
            <w:pPr>
              <w:jc w:val="center"/>
            </w:pPr>
            <w:r>
              <w:rPr>
                <w:rFonts w:hint="eastAsia"/>
              </w:rPr>
              <w:t>成果类别</w:t>
            </w:r>
          </w:p>
        </w:tc>
        <w:tc>
          <w:tcPr>
            <w:tcW w:w="706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497" w:type="dxa"/>
            <w:gridSpan w:val="2"/>
            <w:vAlign w:val="center"/>
          </w:tcPr>
          <w:p>
            <w:pPr>
              <w:jc w:val="center"/>
            </w:pPr>
            <w:r>
              <w:rPr>
                <w:rFonts w:hint="eastAsia"/>
              </w:rPr>
              <w:t>成果起止时间</w:t>
            </w:r>
          </w:p>
        </w:tc>
        <w:tc>
          <w:tcPr>
            <w:tcW w:w="7061" w:type="dxa"/>
            <w:vAlign w:val="center"/>
          </w:tcPr>
          <w:p>
            <w:r>
              <w:rPr>
                <w:rFonts w:hint="eastAsia"/>
              </w:rPr>
              <w:t>起始：年月日</w:t>
            </w:r>
          </w:p>
          <w:p/>
          <w:p>
            <w:r>
              <w:rPr>
                <w:rFonts w:hint="eastAsia"/>
              </w:rPr>
              <w:t>完成：年月日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97" w:type="dxa"/>
            <w:gridSpan w:val="2"/>
            <w:vAlign w:val="center"/>
          </w:tcPr>
          <w:p>
            <w:pPr>
              <w:jc w:val="center"/>
            </w:pPr>
            <w:r>
              <w:rPr>
                <w:rFonts w:hint="eastAsia"/>
              </w:rPr>
              <w:t>主题词</w:t>
            </w:r>
          </w:p>
        </w:tc>
        <w:tc>
          <w:tcPr>
            <w:tcW w:w="706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19" w:hRule="atLeast"/>
          <w:jc w:val="center"/>
        </w:trPr>
        <w:tc>
          <w:tcPr>
            <w:tcW w:w="762" w:type="dxa"/>
            <w:textDirection w:val="tbRlV"/>
            <w:vAlign w:val="center"/>
          </w:tcPr>
          <w:p>
            <w:pPr>
              <w:jc w:val="center"/>
            </w:pPr>
            <w:r>
              <w:rPr>
                <w:rFonts w:hint="eastAsia"/>
              </w:rPr>
              <w:t>成果内容概述</w:t>
            </w:r>
          </w:p>
        </w:tc>
        <w:tc>
          <w:tcPr>
            <w:tcW w:w="7796" w:type="dxa"/>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11" w:hRule="atLeast"/>
          <w:jc w:val="center"/>
        </w:trPr>
        <w:tc>
          <w:tcPr>
            <w:tcW w:w="762" w:type="dxa"/>
            <w:textDirection w:val="tbRlV"/>
            <w:vAlign w:val="center"/>
          </w:tcPr>
          <w:p>
            <w:pPr>
              <w:jc w:val="center"/>
            </w:pPr>
            <w:r>
              <w:rPr>
                <w:rFonts w:hint="eastAsia"/>
              </w:rPr>
              <w:t>近三年与成果相关的业绩</w:t>
            </w:r>
          </w:p>
        </w:tc>
        <w:tc>
          <w:tcPr>
            <w:tcW w:w="7796" w:type="dxa"/>
            <w:gridSpan w:val="2"/>
            <w:vAlign w:val="center"/>
          </w:tcPr>
          <w:p>
            <w:pPr>
              <w:jc w:val="center"/>
            </w:pPr>
          </w:p>
        </w:tc>
      </w:tr>
    </w:tbl>
    <w:p>
      <w:pPr>
        <w:spacing w:line="336" w:lineRule="auto"/>
        <w:ind w:firstLine="420"/>
        <w:rPr>
          <w:sz w:val="24"/>
        </w:rPr>
      </w:pPr>
      <w:r>
        <w:rPr>
          <w:sz w:val="24"/>
        </w:rPr>
        <w:br w:type="page"/>
      </w:r>
      <w:r>
        <w:rPr>
          <w:rFonts w:hint="eastAsia"/>
          <w:sz w:val="24"/>
        </w:rPr>
        <w:t>二、成果内容</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3" w:hRule="atLeast"/>
          <w:jc w:val="center"/>
        </w:trPr>
        <w:tc>
          <w:tcPr>
            <w:tcW w:w="8611" w:type="dxa"/>
          </w:tcPr>
          <w:p>
            <w:pPr>
              <w:spacing w:line="336" w:lineRule="auto"/>
              <w:ind w:firstLine="420"/>
              <w:rPr>
                <w:b/>
              </w:rPr>
            </w:pPr>
            <w:r>
              <w:rPr>
                <w:b/>
              </w:rPr>
              <w:t>1</w:t>
            </w:r>
            <w:r>
              <w:rPr>
                <w:rFonts w:hint="eastAsia"/>
                <w:b/>
              </w:rPr>
              <w:t>．基本内容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4" w:hRule="atLeast"/>
          <w:jc w:val="center"/>
        </w:trPr>
        <w:tc>
          <w:tcPr>
            <w:tcW w:w="8611" w:type="dxa"/>
          </w:tcPr>
          <w:p>
            <w:pPr>
              <w:spacing w:line="336" w:lineRule="auto"/>
              <w:ind w:firstLine="420"/>
              <w:rPr>
                <w:b/>
              </w:rPr>
            </w:pPr>
            <w:r>
              <w:rPr>
                <w:b/>
              </w:rPr>
              <w:br w:type="page"/>
            </w:r>
            <w:r>
              <w:rPr>
                <w:b/>
              </w:rPr>
              <w:t>2</w:t>
            </w:r>
            <w:r>
              <w:rPr>
                <w:rFonts w:hint="eastAsia"/>
                <w:b/>
              </w:rPr>
              <w:t>．创新点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6" w:hRule="atLeast"/>
          <w:jc w:val="center"/>
        </w:trPr>
        <w:tc>
          <w:tcPr>
            <w:tcW w:w="8611" w:type="dxa"/>
          </w:tcPr>
          <w:p>
            <w:pPr>
              <w:spacing w:line="336" w:lineRule="auto"/>
              <w:ind w:firstLine="420"/>
            </w:pPr>
            <w:r>
              <w:t>3</w:t>
            </w:r>
            <w:r>
              <w:rPr>
                <w:rFonts w:hint="eastAsia"/>
              </w:rPr>
              <w:t>．应用情况</w:t>
            </w:r>
          </w:p>
        </w:tc>
      </w:tr>
    </w:tbl>
    <w:tbl>
      <w:tblPr>
        <w:tblStyle w:val="8"/>
        <w:tblpPr w:leftFromText="180" w:rightFromText="180" w:vertAnchor="text" w:horzAnchor="margin" w:tblpXSpec="center" w:tblpY="47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743"/>
        <w:gridCol w:w="2577"/>
        <w:gridCol w:w="1676"/>
        <w:gridCol w:w="19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376" w:type="dxa"/>
            <w:gridSpan w:val="2"/>
            <w:vAlign w:val="center"/>
          </w:tcPr>
          <w:p>
            <w:pPr>
              <w:jc w:val="center"/>
            </w:pPr>
            <w:r>
              <w:rPr>
                <w:rFonts w:hint="eastAsia"/>
              </w:rPr>
              <w:t>第（）完成人姓名</w:t>
            </w:r>
          </w:p>
        </w:tc>
        <w:tc>
          <w:tcPr>
            <w:tcW w:w="2577" w:type="dxa"/>
            <w:vAlign w:val="center"/>
          </w:tcPr>
          <w:p/>
        </w:tc>
        <w:tc>
          <w:tcPr>
            <w:tcW w:w="1676" w:type="dxa"/>
            <w:vAlign w:val="center"/>
          </w:tcPr>
          <w:p>
            <w:pPr>
              <w:jc w:val="center"/>
            </w:pPr>
            <w:r>
              <w:rPr>
                <w:rFonts w:hint="eastAsia"/>
              </w:rPr>
              <w:t>性别</w:t>
            </w:r>
          </w:p>
        </w:tc>
        <w:tc>
          <w:tcPr>
            <w:tcW w:w="1984" w:type="dxa"/>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376" w:type="dxa"/>
            <w:gridSpan w:val="2"/>
            <w:vAlign w:val="center"/>
          </w:tcPr>
          <w:p>
            <w:pPr>
              <w:jc w:val="center"/>
            </w:pPr>
            <w:r>
              <w:rPr>
                <w:rFonts w:hint="eastAsia"/>
              </w:rPr>
              <w:t>出生年月</w:t>
            </w:r>
          </w:p>
        </w:tc>
        <w:tc>
          <w:tcPr>
            <w:tcW w:w="2577" w:type="dxa"/>
            <w:vAlign w:val="center"/>
          </w:tcPr>
          <w:p>
            <w:r>
              <w:rPr>
                <w:rFonts w:hint="eastAsia"/>
              </w:rPr>
              <w:t>年月</w:t>
            </w:r>
          </w:p>
        </w:tc>
        <w:tc>
          <w:tcPr>
            <w:tcW w:w="1676" w:type="dxa"/>
            <w:vAlign w:val="center"/>
          </w:tcPr>
          <w:p>
            <w:pPr>
              <w:jc w:val="center"/>
            </w:pPr>
            <w:r>
              <w:rPr>
                <w:rFonts w:hint="eastAsia"/>
              </w:rPr>
              <w:t>最后学历</w:t>
            </w:r>
          </w:p>
        </w:tc>
        <w:tc>
          <w:tcPr>
            <w:tcW w:w="1984" w:type="dxa"/>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376" w:type="dxa"/>
            <w:gridSpan w:val="2"/>
            <w:vAlign w:val="center"/>
          </w:tcPr>
          <w:p>
            <w:pPr>
              <w:jc w:val="center"/>
            </w:pPr>
            <w:r>
              <w:rPr>
                <w:rFonts w:hint="eastAsia"/>
              </w:rPr>
              <w:t>专业技术职称</w:t>
            </w:r>
          </w:p>
        </w:tc>
        <w:tc>
          <w:tcPr>
            <w:tcW w:w="2577" w:type="dxa"/>
            <w:vAlign w:val="center"/>
          </w:tcPr>
          <w:p/>
        </w:tc>
        <w:tc>
          <w:tcPr>
            <w:tcW w:w="1676" w:type="dxa"/>
            <w:vAlign w:val="center"/>
          </w:tcPr>
          <w:p>
            <w:pPr>
              <w:jc w:val="center"/>
            </w:pPr>
            <w:r>
              <w:rPr>
                <w:rFonts w:hint="eastAsia"/>
              </w:rPr>
              <w:t>现任党政职务</w:t>
            </w:r>
          </w:p>
        </w:tc>
        <w:tc>
          <w:tcPr>
            <w:tcW w:w="1984" w:type="dxa"/>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376" w:type="dxa"/>
            <w:gridSpan w:val="2"/>
            <w:vAlign w:val="center"/>
          </w:tcPr>
          <w:p>
            <w:pPr>
              <w:jc w:val="center"/>
            </w:pPr>
            <w:r>
              <w:rPr>
                <w:rFonts w:hint="eastAsia"/>
              </w:rPr>
              <w:t>工作单位（部门）</w:t>
            </w:r>
          </w:p>
        </w:tc>
        <w:tc>
          <w:tcPr>
            <w:tcW w:w="2577" w:type="dxa"/>
            <w:vAlign w:val="center"/>
          </w:tcPr>
          <w:p/>
        </w:tc>
        <w:tc>
          <w:tcPr>
            <w:tcW w:w="1676" w:type="dxa"/>
            <w:vAlign w:val="center"/>
          </w:tcPr>
          <w:p>
            <w:pPr>
              <w:jc w:val="center"/>
            </w:pPr>
            <w:r>
              <w:rPr>
                <w:rFonts w:hint="eastAsia"/>
              </w:rPr>
              <w:t>联系电话</w:t>
            </w:r>
          </w:p>
        </w:tc>
        <w:tc>
          <w:tcPr>
            <w:tcW w:w="1984" w:type="dxa"/>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376" w:type="dxa"/>
            <w:gridSpan w:val="2"/>
            <w:vAlign w:val="center"/>
          </w:tcPr>
          <w:p>
            <w:pPr>
              <w:jc w:val="center"/>
            </w:pPr>
            <w:r>
              <w:rPr>
                <w:rFonts w:hint="eastAsia"/>
              </w:rPr>
              <w:t>现从事工作及专长</w:t>
            </w:r>
          </w:p>
        </w:tc>
        <w:tc>
          <w:tcPr>
            <w:tcW w:w="2577" w:type="dxa"/>
            <w:vAlign w:val="center"/>
          </w:tcPr>
          <w:p/>
        </w:tc>
        <w:tc>
          <w:tcPr>
            <w:tcW w:w="1676" w:type="dxa"/>
            <w:vAlign w:val="center"/>
          </w:tcPr>
          <w:p>
            <w:pPr>
              <w:jc w:val="center"/>
            </w:pPr>
            <w:r>
              <w:rPr>
                <w:rFonts w:hint="eastAsia"/>
              </w:rPr>
              <w:t>电子信箱</w:t>
            </w:r>
          </w:p>
        </w:tc>
        <w:tc>
          <w:tcPr>
            <w:tcW w:w="1984" w:type="dxa"/>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376" w:type="dxa"/>
            <w:gridSpan w:val="2"/>
            <w:vAlign w:val="center"/>
          </w:tcPr>
          <w:p>
            <w:pPr>
              <w:jc w:val="center"/>
            </w:pPr>
            <w:r>
              <w:rPr>
                <w:rFonts w:hint="eastAsia"/>
              </w:rPr>
              <w:t>何时何地受何奖励</w:t>
            </w:r>
          </w:p>
        </w:tc>
        <w:tc>
          <w:tcPr>
            <w:tcW w:w="6237" w:type="dxa"/>
            <w:gridSpan w:val="3"/>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88" w:hRule="atLeast"/>
        </w:trPr>
        <w:tc>
          <w:tcPr>
            <w:tcW w:w="633" w:type="dxa"/>
            <w:textDirection w:val="tbRlV"/>
            <w:vAlign w:val="center"/>
          </w:tcPr>
          <w:p>
            <w:pPr>
              <w:jc w:val="center"/>
            </w:pPr>
            <w:r>
              <w:rPr>
                <w:rFonts w:hint="eastAsia"/>
              </w:rPr>
              <w:t>主要贡献</w:t>
            </w:r>
          </w:p>
        </w:tc>
        <w:tc>
          <w:tcPr>
            <w:tcW w:w="7980" w:type="dxa"/>
            <w:gridSpan w:val="4"/>
            <w:vAlign w:val="bottom"/>
          </w:tcPr>
          <w:p>
            <w:r>
              <w:rPr>
                <w:rFonts w:hint="eastAsia"/>
              </w:rPr>
              <w:t>本人签名：</w:t>
            </w:r>
          </w:p>
          <w:p/>
          <w:p>
            <w:r>
              <w:rPr>
                <w:rFonts w:hint="eastAsia"/>
              </w:rPr>
              <w:t>课题负责人签名：</w:t>
            </w:r>
          </w:p>
          <w:p/>
          <w:p>
            <w:r>
              <w:rPr>
                <w:rFonts w:hint="eastAsia"/>
              </w:rPr>
              <w:t>年月日</w:t>
            </w:r>
          </w:p>
          <w:p/>
        </w:tc>
      </w:tr>
    </w:tbl>
    <w:p>
      <w:pPr>
        <w:spacing w:line="336" w:lineRule="auto"/>
        <w:ind w:firstLine="420"/>
        <w:rPr>
          <w:sz w:val="24"/>
        </w:rPr>
      </w:pPr>
      <w:r>
        <w:rPr>
          <w:rFonts w:hint="eastAsia"/>
          <w:bCs/>
          <w:sz w:val="24"/>
        </w:rPr>
        <w:t>三、主要完成人情况</w:t>
      </w:r>
    </w:p>
    <w:p>
      <w:pPr>
        <w:spacing w:line="336" w:lineRule="auto"/>
        <w:ind w:firstLine="420"/>
        <w:rPr>
          <w:rFonts w:eastAsia="楷体_GB2312"/>
        </w:rPr>
      </w:pPr>
      <w:r>
        <w:rPr>
          <w:rFonts w:hint="eastAsia" w:eastAsia="楷体_GB2312"/>
        </w:rPr>
        <w:t>注：此表每个主要完成人各填写一份。</w:t>
      </w:r>
    </w:p>
    <w:p>
      <w:pPr>
        <w:spacing w:line="336" w:lineRule="auto"/>
        <w:ind w:firstLine="420"/>
        <w:rPr>
          <w:sz w:val="24"/>
        </w:rPr>
      </w:pPr>
      <w:r>
        <w:rPr>
          <w:rFonts w:hint="eastAsia"/>
          <w:sz w:val="24"/>
        </w:rPr>
        <w:t>四、推荐、评审意见</w:t>
      </w:r>
    </w:p>
    <w:tbl>
      <w:tblPr>
        <w:tblStyle w:val="8"/>
        <w:tblW w:w="82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6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49" w:hRule="atLeast"/>
          <w:jc w:val="center"/>
        </w:trPr>
        <w:tc>
          <w:tcPr>
            <w:tcW w:w="648" w:type="dxa"/>
            <w:textDirection w:val="tbRlV"/>
            <w:vAlign w:val="center"/>
          </w:tcPr>
          <w:p>
            <w:pPr>
              <w:jc w:val="center"/>
            </w:pPr>
            <w:r>
              <w:rPr>
                <w:rFonts w:hint="eastAsia"/>
              </w:rPr>
              <w:t>部门推荐意见</w:t>
            </w:r>
          </w:p>
        </w:tc>
        <w:tc>
          <w:tcPr>
            <w:tcW w:w="7636" w:type="dxa"/>
            <w:vAlign w:val="bottom"/>
          </w:tcPr>
          <w:p>
            <w:r>
              <w:rPr>
                <w:rFonts w:hint="eastAsia"/>
              </w:rPr>
              <w:t>部门领导签名：</w:t>
            </w:r>
          </w:p>
          <w:p/>
          <w:p>
            <w:r>
              <w:rPr>
                <w:rFonts w:hint="eastAsia"/>
              </w:rPr>
              <w:t>部门盖章：</w:t>
            </w:r>
          </w:p>
          <w:p/>
          <w:p>
            <w:r>
              <w:rPr>
                <w:rFonts w:hint="eastAsia"/>
              </w:rPr>
              <w:t>年月日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50" w:hRule="atLeast"/>
          <w:jc w:val="center"/>
        </w:trPr>
        <w:tc>
          <w:tcPr>
            <w:tcW w:w="648" w:type="dxa"/>
            <w:textDirection w:val="tbRlV"/>
            <w:vAlign w:val="center"/>
          </w:tcPr>
          <w:p>
            <w:pPr>
              <w:jc w:val="center"/>
            </w:pPr>
            <w:r>
              <w:rPr>
                <w:rFonts w:hint="eastAsia"/>
              </w:rPr>
              <w:t>专家评审意见</w:t>
            </w:r>
          </w:p>
        </w:tc>
        <w:tc>
          <w:tcPr>
            <w:tcW w:w="7636" w:type="dxa"/>
            <w:vAlign w:val="bottom"/>
          </w:tcPr>
          <w:p>
            <w:pPr>
              <w:ind w:firstLine="5250" w:firstLineChars="2500"/>
            </w:pPr>
            <w:r>
              <w:rPr>
                <w:rFonts w:hint="eastAsia"/>
              </w:rPr>
              <w:t>专家评审小组组长签名：</w:t>
            </w:r>
          </w:p>
          <w:p/>
          <w:p>
            <w:r>
              <w:rPr>
                <w:rFonts w:hint="eastAsia"/>
              </w:rPr>
              <w:t>年月日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4" w:hRule="atLeast"/>
          <w:jc w:val="center"/>
        </w:trPr>
        <w:tc>
          <w:tcPr>
            <w:tcW w:w="648" w:type="dxa"/>
            <w:textDirection w:val="tbRlV"/>
            <w:vAlign w:val="center"/>
          </w:tcPr>
          <w:p>
            <w:pPr>
              <w:jc w:val="center"/>
            </w:pPr>
            <w:r>
              <w:rPr>
                <w:rFonts w:hint="eastAsia"/>
              </w:rPr>
              <w:t>学院评审委员意见</w:t>
            </w:r>
          </w:p>
        </w:tc>
        <w:tc>
          <w:tcPr>
            <w:tcW w:w="7636" w:type="dxa"/>
            <w:vAlign w:val="bottom"/>
          </w:tcPr>
          <w:p>
            <w:r>
              <w:rPr>
                <w:rFonts w:hint="eastAsia"/>
              </w:rPr>
              <w:t>评审委员会主任签名：</w:t>
            </w:r>
          </w:p>
          <w:p/>
          <w:p>
            <w:r>
              <w:rPr>
                <w:rFonts w:hint="eastAsia"/>
              </w:rPr>
              <w:t>年月日</w:t>
            </w:r>
          </w:p>
        </w:tc>
      </w:tr>
    </w:tbl>
    <w:p>
      <w:pPr>
        <w:spacing w:line="600" w:lineRule="exact"/>
        <w:rPr>
          <w:b/>
          <w:sz w:val="28"/>
          <w:szCs w:val="30"/>
        </w:rPr>
      </w:pPr>
    </w:p>
    <w:sectPr>
      <w:footerReference r:id="rId3" w:type="default"/>
      <w:pgSz w:w="11906" w:h="16838"/>
      <w:pgMar w:top="1701" w:right="1508" w:bottom="1701" w:left="150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504142"/>
      <w:docPartObj>
        <w:docPartGallery w:val="AutoText"/>
      </w:docPartObj>
    </w:sdtPr>
    <w:sdtContent>
      <w:sdt>
        <w:sdtPr>
          <w:id w:val="-1669238322"/>
          <w:docPartObj>
            <w:docPartGallery w:val="AutoText"/>
          </w:docPartObj>
        </w:sdtPr>
        <w:sdtContent>
          <w:p>
            <w:pPr>
              <w:pStyle w:val="5"/>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DD"/>
    <w:rsid w:val="00030725"/>
    <w:rsid w:val="00072283"/>
    <w:rsid w:val="00072460"/>
    <w:rsid w:val="00080FBB"/>
    <w:rsid w:val="000B7710"/>
    <w:rsid w:val="001122D4"/>
    <w:rsid w:val="00113AE7"/>
    <w:rsid w:val="001170EF"/>
    <w:rsid w:val="00127750"/>
    <w:rsid w:val="00131BD7"/>
    <w:rsid w:val="00133311"/>
    <w:rsid w:val="00135CA7"/>
    <w:rsid w:val="00144921"/>
    <w:rsid w:val="00146338"/>
    <w:rsid w:val="001508D8"/>
    <w:rsid w:val="0016628C"/>
    <w:rsid w:val="00171779"/>
    <w:rsid w:val="001810AC"/>
    <w:rsid w:val="0019511E"/>
    <w:rsid w:val="00196975"/>
    <w:rsid w:val="001A4B0C"/>
    <w:rsid w:val="001B5B40"/>
    <w:rsid w:val="001C25D1"/>
    <w:rsid w:val="001D03BA"/>
    <w:rsid w:val="001D1EC3"/>
    <w:rsid w:val="001F2503"/>
    <w:rsid w:val="00203F08"/>
    <w:rsid w:val="0023433E"/>
    <w:rsid w:val="0024354E"/>
    <w:rsid w:val="00246DEA"/>
    <w:rsid w:val="002603B6"/>
    <w:rsid w:val="002672F7"/>
    <w:rsid w:val="00273B37"/>
    <w:rsid w:val="00274B97"/>
    <w:rsid w:val="00296256"/>
    <w:rsid w:val="00297FC4"/>
    <w:rsid w:val="002B6309"/>
    <w:rsid w:val="002B6E67"/>
    <w:rsid w:val="002C758E"/>
    <w:rsid w:val="002D5238"/>
    <w:rsid w:val="002D56C4"/>
    <w:rsid w:val="002E4B09"/>
    <w:rsid w:val="0030317C"/>
    <w:rsid w:val="00307047"/>
    <w:rsid w:val="003607D2"/>
    <w:rsid w:val="00381085"/>
    <w:rsid w:val="0038161F"/>
    <w:rsid w:val="0039170A"/>
    <w:rsid w:val="00396C91"/>
    <w:rsid w:val="003A3685"/>
    <w:rsid w:val="003A4BCD"/>
    <w:rsid w:val="003B2B06"/>
    <w:rsid w:val="003B2E1B"/>
    <w:rsid w:val="003D02AE"/>
    <w:rsid w:val="003D78E3"/>
    <w:rsid w:val="003E3B92"/>
    <w:rsid w:val="003E3BB7"/>
    <w:rsid w:val="00410474"/>
    <w:rsid w:val="00432522"/>
    <w:rsid w:val="00433B5E"/>
    <w:rsid w:val="00441DF4"/>
    <w:rsid w:val="004454DB"/>
    <w:rsid w:val="00445646"/>
    <w:rsid w:val="004458F9"/>
    <w:rsid w:val="00445CB5"/>
    <w:rsid w:val="00450017"/>
    <w:rsid w:val="00450899"/>
    <w:rsid w:val="00461620"/>
    <w:rsid w:val="00461D9B"/>
    <w:rsid w:val="00466C77"/>
    <w:rsid w:val="00482D4A"/>
    <w:rsid w:val="004842A6"/>
    <w:rsid w:val="004A09A1"/>
    <w:rsid w:val="004C315B"/>
    <w:rsid w:val="004C3B8F"/>
    <w:rsid w:val="004D040B"/>
    <w:rsid w:val="004D3A39"/>
    <w:rsid w:val="004D645F"/>
    <w:rsid w:val="00512468"/>
    <w:rsid w:val="00527349"/>
    <w:rsid w:val="005320F2"/>
    <w:rsid w:val="00544886"/>
    <w:rsid w:val="005514B7"/>
    <w:rsid w:val="00564848"/>
    <w:rsid w:val="00570927"/>
    <w:rsid w:val="00576A7B"/>
    <w:rsid w:val="005771CA"/>
    <w:rsid w:val="0057741D"/>
    <w:rsid w:val="005A5F49"/>
    <w:rsid w:val="005B1D8F"/>
    <w:rsid w:val="005B43FF"/>
    <w:rsid w:val="005D5843"/>
    <w:rsid w:val="0061321B"/>
    <w:rsid w:val="00614250"/>
    <w:rsid w:val="00627DFD"/>
    <w:rsid w:val="00646FD4"/>
    <w:rsid w:val="00654D26"/>
    <w:rsid w:val="00655A44"/>
    <w:rsid w:val="00657C4E"/>
    <w:rsid w:val="0066460A"/>
    <w:rsid w:val="00682B36"/>
    <w:rsid w:val="006875BF"/>
    <w:rsid w:val="006878E4"/>
    <w:rsid w:val="0069733A"/>
    <w:rsid w:val="006A1A58"/>
    <w:rsid w:val="006C067F"/>
    <w:rsid w:val="006D3E54"/>
    <w:rsid w:val="006D63CB"/>
    <w:rsid w:val="006E1DAB"/>
    <w:rsid w:val="006F72EC"/>
    <w:rsid w:val="007261DD"/>
    <w:rsid w:val="00756822"/>
    <w:rsid w:val="0079417F"/>
    <w:rsid w:val="007A4E74"/>
    <w:rsid w:val="007B527C"/>
    <w:rsid w:val="007B5BD2"/>
    <w:rsid w:val="007D1A2C"/>
    <w:rsid w:val="007D3018"/>
    <w:rsid w:val="007D39FD"/>
    <w:rsid w:val="007E6291"/>
    <w:rsid w:val="007F0007"/>
    <w:rsid w:val="00804DA0"/>
    <w:rsid w:val="00845EA7"/>
    <w:rsid w:val="008650FD"/>
    <w:rsid w:val="008663BA"/>
    <w:rsid w:val="008672E4"/>
    <w:rsid w:val="008776BD"/>
    <w:rsid w:val="008C6B6B"/>
    <w:rsid w:val="008D207E"/>
    <w:rsid w:val="008D6BF8"/>
    <w:rsid w:val="008F317F"/>
    <w:rsid w:val="00904DEB"/>
    <w:rsid w:val="009055FB"/>
    <w:rsid w:val="00917AAC"/>
    <w:rsid w:val="00923AEC"/>
    <w:rsid w:val="00934645"/>
    <w:rsid w:val="00952F4C"/>
    <w:rsid w:val="00971A39"/>
    <w:rsid w:val="009824B3"/>
    <w:rsid w:val="009966BC"/>
    <w:rsid w:val="009B423B"/>
    <w:rsid w:val="009D5FD4"/>
    <w:rsid w:val="009D634E"/>
    <w:rsid w:val="009E5D9A"/>
    <w:rsid w:val="009F731B"/>
    <w:rsid w:val="00A032CE"/>
    <w:rsid w:val="00A31AAB"/>
    <w:rsid w:val="00A31BDC"/>
    <w:rsid w:val="00A3752B"/>
    <w:rsid w:val="00A3762F"/>
    <w:rsid w:val="00A409FE"/>
    <w:rsid w:val="00A61DEA"/>
    <w:rsid w:val="00A92AE8"/>
    <w:rsid w:val="00A972B8"/>
    <w:rsid w:val="00AA55A5"/>
    <w:rsid w:val="00AA5FC4"/>
    <w:rsid w:val="00AA662D"/>
    <w:rsid w:val="00AD41FB"/>
    <w:rsid w:val="00AE19BF"/>
    <w:rsid w:val="00AE7EAC"/>
    <w:rsid w:val="00AF1F2D"/>
    <w:rsid w:val="00AF2375"/>
    <w:rsid w:val="00B1012A"/>
    <w:rsid w:val="00B24D53"/>
    <w:rsid w:val="00B3261C"/>
    <w:rsid w:val="00B33C95"/>
    <w:rsid w:val="00B5106A"/>
    <w:rsid w:val="00B527B4"/>
    <w:rsid w:val="00B64D06"/>
    <w:rsid w:val="00B6541E"/>
    <w:rsid w:val="00B7174D"/>
    <w:rsid w:val="00B963C6"/>
    <w:rsid w:val="00BA1BBA"/>
    <w:rsid w:val="00BB7DE8"/>
    <w:rsid w:val="00BD6FE3"/>
    <w:rsid w:val="00C022C1"/>
    <w:rsid w:val="00C0405F"/>
    <w:rsid w:val="00C10F1E"/>
    <w:rsid w:val="00C1497A"/>
    <w:rsid w:val="00C27F21"/>
    <w:rsid w:val="00C35C8F"/>
    <w:rsid w:val="00C47681"/>
    <w:rsid w:val="00C54D6E"/>
    <w:rsid w:val="00C600F6"/>
    <w:rsid w:val="00C759F4"/>
    <w:rsid w:val="00CA0742"/>
    <w:rsid w:val="00CA3401"/>
    <w:rsid w:val="00CB12AF"/>
    <w:rsid w:val="00CB2524"/>
    <w:rsid w:val="00CB69C8"/>
    <w:rsid w:val="00CC7CD7"/>
    <w:rsid w:val="00CD0A3D"/>
    <w:rsid w:val="00CD13F7"/>
    <w:rsid w:val="00CD46B8"/>
    <w:rsid w:val="00CE3437"/>
    <w:rsid w:val="00CF0A5B"/>
    <w:rsid w:val="00D120A8"/>
    <w:rsid w:val="00D20B3A"/>
    <w:rsid w:val="00D32F15"/>
    <w:rsid w:val="00D426A3"/>
    <w:rsid w:val="00D60785"/>
    <w:rsid w:val="00D64D34"/>
    <w:rsid w:val="00D64D7D"/>
    <w:rsid w:val="00D73B1A"/>
    <w:rsid w:val="00D74CF5"/>
    <w:rsid w:val="00D8246B"/>
    <w:rsid w:val="00D844F4"/>
    <w:rsid w:val="00D90D7C"/>
    <w:rsid w:val="00D93137"/>
    <w:rsid w:val="00D95B1F"/>
    <w:rsid w:val="00DA4D9A"/>
    <w:rsid w:val="00DC0D30"/>
    <w:rsid w:val="00DD3327"/>
    <w:rsid w:val="00DE1B60"/>
    <w:rsid w:val="00DE6574"/>
    <w:rsid w:val="00E04628"/>
    <w:rsid w:val="00E07A8C"/>
    <w:rsid w:val="00E27C10"/>
    <w:rsid w:val="00E42BD5"/>
    <w:rsid w:val="00E64CF0"/>
    <w:rsid w:val="00E71004"/>
    <w:rsid w:val="00E8208B"/>
    <w:rsid w:val="00E95A58"/>
    <w:rsid w:val="00E9651B"/>
    <w:rsid w:val="00EA42BA"/>
    <w:rsid w:val="00EA75A5"/>
    <w:rsid w:val="00EC7433"/>
    <w:rsid w:val="00EF0405"/>
    <w:rsid w:val="00F01A60"/>
    <w:rsid w:val="00F02274"/>
    <w:rsid w:val="00F02DCA"/>
    <w:rsid w:val="00F4035A"/>
    <w:rsid w:val="00F46D8D"/>
    <w:rsid w:val="00F5279B"/>
    <w:rsid w:val="00F52E72"/>
    <w:rsid w:val="00F54D65"/>
    <w:rsid w:val="00F65F6B"/>
    <w:rsid w:val="00F672B6"/>
    <w:rsid w:val="00F7634D"/>
    <w:rsid w:val="00F82542"/>
    <w:rsid w:val="00FB3904"/>
    <w:rsid w:val="00FB3D96"/>
    <w:rsid w:val="00FB46FA"/>
    <w:rsid w:val="00FD7204"/>
    <w:rsid w:val="00FE5FD3"/>
    <w:rsid w:val="6D9123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仿宋_GB2312" w:cs="Times New Roman"/>
      <w:sz w:val="32"/>
      <w:szCs w:val="20"/>
    </w:rPr>
  </w:style>
  <w:style w:type="paragraph" w:styleId="3">
    <w:name w:val="Date"/>
    <w:basedOn w:val="1"/>
    <w:next w:val="1"/>
    <w:link w:val="13"/>
    <w:semiHidden/>
    <w:unhideWhenUsed/>
    <w:qFormat/>
    <w:uiPriority w:val="0"/>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qFormat/>
    <w:uiPriority w:val="0"/>
    <w:rPr>
      <w:b/>
      <w:bCs/>
    </w:rPr>
  </w:style>
  <w:style w:type="character" w:customStyle="1" w:styleId="11">
    <w:name w:val="页眉 Char"/>
    <w:basedOn w:val="9"/>
    <w:link w:val="6"/>
    <w:uiPriority w:val="99"/>
    <w:rPr>
      <w:sz w:val="18"/>
      <w:szCs w:val="18"/>
    </w:rPr>
  </w:style>
  <w:style w:type="character" w:customStyle="1" w:styleId="12">
    <w:name w:val="页脚 Char"/>
    <w:basedOn w:val="9"/>
    <w:link w:val="5"/>
    <w:uiPriority w:val="99"/>
    <w:rPr>
      <w:sz w:val="18"/>
      <w:szCs w:val="18"/>
    </w:rPr>
  </w:style>
  <w:style w:type="character" w:customStyle="1" w:styleId="13">
    <w:name w:val="日期 Char"/>
    <w:basedOn w:val="9"/>
    <w:link w:val="3"/>
    <w:semiHidden/>
    <w:qFormat/>
    <w:uiPriority w:val="0"/>
  </w:style>
  <w:style w:type="paragraph" w:customStyle="1" w:styleId="14">
    <w:name w:val="Geen afstand"/>
    <w:qFormat/>
    <w:uiPriority w:val="0"/>
    <w:rPr>
      <w:rFonts w:ascii="Calibri" w:hAnsi="Calibri" w:eastAsia="宋体" w:cs="Times New Roman"/>
      <w:kern w:val="0"/>
      <w:sz w:val="22"/>
      <w:szCs w:val="22"/>
      <w:lang w:val="en-GB" w:eastAsia="zh-CN" w:bidi="ar-SA"/>
    </w:rPr>
  </w:style>
  <w:style w:type="character" w:customStyle="1" w:styleId="15">
    <w:name w:val="批注框文本 Char"/>
    <w:basedOn w:val="9"/>
    <w:link w:val="4"/>
    <w:semiHidden/>
    <w:qFormat/>
    <w:uiPriority w:val="99"/>
    <w:rPr>
      <w:sz w:val="18"/>
      <w:szCs w:val="18"/>
    </w:rPr>
  </w:style>
  <w:style w:type="paragraph" w:styleId="16">
    <w:name w:val="List Paragraph"/>
    <w:basedOn w:val="1"/>
    <w:qFormat/>
    <w:uiPriority w:val="99"/>
    <w:pPr>
      <w:ind w:firstLine="420" w:firstLineChars="200"/>
    </w:pPr>
    <w:rPr>
      <w:rFonts w:ascii="Calibri" w:hAnsi="Calibri" w:eastAsia="宋体" w:cs="Times New Roman"/>
    </w:rPr>
  </w:style>
  <w:style w:type="paragraph" w:customStyle="1" w:styleId="17">
    <w:name w:val="二标"/>
    <w:basedOn w:val="1"/>
    <w:qFormat/>
    <w:uiPriority w:val="0"/>
    <w:pPr>
      <w:spacing w:line="336" w:lineRule="auto"/>
      <w:ind w:firstLine="420"/>
    </w:pPr>
    <w:rPr>
      <w:rFonts w:ascii="Times New Roman" w:hAnsi="Times New Roman" w:eastAsia="黑体" w:cs="Times New Roman"/>
      <w:sz w:val="24"/>
      <w:szCs w:val="24"/>
    </w:rPr>
  </w:style>
  <w:style w:type="paragraph" w:customStyle="1" w:styleId="18">
    <w:name w:val="题二"/>
    <w:basedOn w:val="1"/>
    <w:qFormat/>
    <w:uiPriority w:val="0"/>
    <w:pPr>
      <w:snapToGrid w:val="0"/>
      <w:jc w:val="center"/>
    </w:pPr>
    <w:rPr>
      <w:rFonts w:ascii="Times New Roman" w:hAnsi="Times New Roman" w:eastAsia="华文中宋" w:cs="Times New Roman"/>
      <w:bCs/>
      <w:sz w:val="36"/>
      <w:szCs w:val="24"/>
    </w:rPr>
  </w:style>
  <w:style w:type="paragraph" w:customStyle="1" w:styleId="19">
    <w:name w:val="新正文"/>
    <w:basedOn w:val="1"/>
    <w:qFormat/>
    <w:uiPriority w:val="0"/>
    <w:pPr>
      <w:spacing w:line="276" w:lineRule="auto"/>
      <w:ind w:firstLine="420"/>
    </w:pPr>
    <w:rPr>
      <w:rFonts w:ascii="Times New Roman" w:hAnsi="Times New Roman" w:eastAsia="宋体" w:cs="Times New Roman"/>
      <w:szCs w:val="24"/>
    </w:rPr>
  </w:style>
  <w:style w:type="paragraph" w:customStyle="1" w:styleId="20">
    <w:name w:val="题"/>
    <w:basedOn w:val="1"/>
    <w:qFormat/>
    <w:uiPriority w:val="0"/>
    <w:pPr>
      <w:snapToGrid w:val="0"/>
      <w:jc w:val="center"/>
      <w:outlineLvl w:val="0"/>
    </w:pPr>
    <w:rPr>
      <w:rFonts w:ascii="Times New Roman" w:hAnsi="Times New Roman" w:eastAsia="华文中宋" w:cs="Times New Roman"/>
      <w:bCs/>
      <w:sz w:val="36"/>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220428-47B4-4FFC-A591-186313990D6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442</Words>
  <Characters>2525</Characters>
  <Lines>21</Lines>
  <Paragraphs>5</Paragraphs>
  <TotalTime>10</TotalTime>
  <ScaleCrop>false</ScaleCrop>
  <LinksUpToDate>false</LinksUpToDate>
  <CharactersWithSpaces>2962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2018-10-18T02:55:00Z</dcterms:created>
  <dc:creator>微软用户</dc:creator>
  <cp:lastModifiedBy>文刀木子兮</cp:lastModifiedBy>
  <cp:lastPrinted>2018-10-18T04:58:00Z</cp:lastPrinted>
  <dcterms:modified xsi:type="dcterms:W3CDTF">2023-08-07T15:39:23Z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3F035CBBCEB8445C8E6B625B9D1A256C_13</vt:lpwstr>
  </property>
</Properties>
</file>