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78" w:leftChars="-85" w:right="-147" w:rightChars="-70"/>
        <w:jc w:val="center"/>
        <w:rPr>
          <w:rFonts w:ascii="华文中宋" w:hAnsi="华文中宋" w:eastAsia="华文中宋"/>
          <w:b/>
          <w:color w:val="FF3200"/>
          <w:spacing w:val="-26"/>
          <w:kern w:val="0"/>
          <w:sz w:val="52"/>
          <w:szCs w:val="52"/>
        </w:rPr>
      </w:pPr>
      <w:bookmarkStart w:id="3" w:name="_GoBack"/>
      <w:bookmarkEnd w:id="3"/>
      <w:r>
        <w:rPr>
          <w:rFonts w:hint="eastAsia" w:ascii="华文中宋" w:hAnsi="华文中宋" w:eastAsia="华文中宋"/>
          <w:b/>
          <w:color w:val="FF3200"/>
          <w:spacing w:val="-26"/>
          <w:kern w:val="0"/>
          <w:sz w:val="52"/>
          <w:szCs w:val="52"/>
        </w:rPr>
        <w:t>中共上海工商职业技术学院委员会文件</w:t>
      </w:r>
    </w:p>
    <w:p>
      <w:pPr>
        <w:adjustRightInd w:val="0"/>
        <w:snapToGrid w:val="0"/>
        <w:spacing w:line="540" w:lineRule="exact"/>
        <w:jc w:val="center"/>
        <w:rPr>
          <w:rFonts w:ascii="黑体" w:eastAsia="黑体"/>
          <w:sz w:val="30"/>
        </w:rPr>
      </w:pPr>
    </w:p>
    <w:p>
      <w:pPr>
        <w:adjustRightInd w:val="0"/>
        <w:snapToGrid w:val="0"/>
        <w:spacing w:line="520" w:lineRule="exact"/>
        <w:jc w:val="center"/>
        <w:rPr>
          <w:rFonts w:ascii="仿宋" w:hAnsi="仿宋" w:eastAsia="仿宋" w:cs="仿宋"/>
          <w:sz w:val="32"/>
          <w:szCs w:val="32"/>
        </w:rPr>
      </w:pPr>
    </w:p>
    <w:p>
      <w:pPr>
        <w:adjustRightInd w:val="0"/>
        <w:snapToGrid w:val="0"/>
        <w:spacing w:line="520" w:lineRule="exact"/>
        <w:jc w:val="center"/>
        <w:rPr>
          <w:rFonts w:asciiTheme="minorEastAsia" w:hAnsiTheme="minorEastAsia"/>
          <w:bCs/>
          <w:sz w:val="30"/>
          <w:szCs w:val="30"/>
        </w:rPr>
      </w:pPr>
      <w:r>
        <w:rPr>
          <w:rFonts w:hint="eastAsia" w:asciiTheme="minorEastAsia" w:hAnsiTheme="minorEastAsia"/>
          <w:bCs/>
          <w:sz w:val="30"/>
          <w:szCs w:val="30"/>
        </w:rPr>
        <w:t>沪工商委〔2017〕21号</w:t>
      </w:r>
    </w:p>
    <w:p>
      <w:pPr>
        <w:adjustRightInd w:val="0"/>
        <w:snapToGrid w:val="0"/>
        <w:spacing w:line="520" w:lineRule="exact"/>
        <w:jc w:val="left"/>
        <w:rPr>
          <w:rFonts w:ascii="仿宋" w:hAnsi="仿宋" w:eastAsia="仿宋"/>
          <w:bCs/>
          <w:color w:val="FF0000"/>
          <w:sz w:val="28"/>
          <w:szCs w:val="28"/>
          <w:u w:val="thick"/>
        </w:rPr>
      </w:pPr>
      <w:r>
        <w:rPr>
          <w:rFonts w:hint="eastAsia" w:ascii="仿宋" w:hAnsi="仿宋" w:eastAsia="仿宋"/>
          <w:bCs/>
          <w:color w:val="FF0000"/>
          <w:sz w:val="28"/>
          <w:szCs w:val="28"/>
          <w:u w:val="thick"/>
        </w:rPr>
        <w:t xml:space="preserve">                                                                 </w:t>
      </w:r>
    </w:p>
    <w:p>
      <w:pPr>
        <w:jc w:val="center"/>
        <w:rPr>
          <w:b/>
          <w:sz w:val="11"/>
          <w:szCs w:val="11"/>
        </w:rPr>
      </w:pPr>
      <w:r>
        <w:rPr>
          <w:rFonts w:hint="eastAsia"/>
          <w:b/>
          <w:sz w:val="11"/>
          <w:szCs w:val="11"/>
        </w:rPr>
        <w:t xml:space="preserve"> </w:t>
      </w:r>
    </w:p>
    <w:p>
      <w:pPr>
        <w:jc w:val="center"/>
        <w:rPr>
          <w:rFonts w:ascii="华文中宋" w:hAnsi="华文中宋" w:eastAsia="华文中宋"/>
          <w:b/>
          <w:sz w:val="36"/>
          <w:szCs w:val="36"/>
        </w:rPr>
      </w:pPr>
      <w:r>
        <w:rPr>
          <w:rFonts w:hint="eastAsia" w:ascii="华文中宋" w:hAnsi="华文中宋" w:eastAsia="华文中宋"/>
          <w:b/>
          <w:sz w:val="36"/>
          <w:szCs w:val="36"/>
        </w:rPr>
        <w:t>关于印发《上海工商职业技术学院党政领导成员</w:t>
      </w:r>
    </w:p>
    <w:p>
      <w:pPr>
        <w:jc w:val="center"/>
        <w:rPr>
          <w:rFonts w:ascii="华文中宋" w:hAnsi="华文中宋" w:eastAsia="华文中宋"/>
          <w:b/>
          <w:sz w:val="36"/>
          <w:szCs w:val="36"/>
        </w:rPr>
      </w:pPr>
      <w:r>
        <w:rPr>
          <w:rFonts w:hint="eastAsia" w:ascii="华文中宋" w:hAnsi="华文中宋" w:eastAsia="华文中宋"/>
          <w:b/>
          <w:sz w:val="36"/>
          <w:szCs w:val="36"/>
        </w:rPr>
        <w:t>党风廉政建设和反腐败工作责任分工》的通知</w:t>
      </w:r>
    </w:p>
    <w:p>
      <w:pPr>
        <w:rPr>
          <w:sz w:val="28"/>
          <w:szCs w:val="28"/>
        </w:rPr>
      </w:pPr>
    </w:p>
    <w:p>
      <w:pPr>
        <w:rPr>
          <w:sz w:val="28"/>
          <w:szCs w:val="28"/>
        </w:rPr>
      </w:pPr>
      <w:r>
        <w:rPr>
          <w:rFonts w:hint="eastAsia"/>
          <w:sz w:val="28"/>
          <w:szCs w:val="28"/>
        </w:rPr>
        <w:t>各党支部、各处（办）、各系：</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上海工商职业技术学院党政领导成员党风廉政建设和反腐败工作责任分工》经2017年9月25日党委会讨论通过，现印发给你们。请全体党员干部和教职员工，深入学习习近平总书记系列重要讲话和治国理政新理念新思想新战略，进一步加强学院党风廉政建设，确保学院各项事业高效、快速发展。</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附件 《上海工商职业技术学院党政领导成员党风廉政建设和反腐败工作责任分工》</w:t>
      </w:r>
    </w:p>
    <w:p>
      <w:pPr>
        <w:rPr>
          <w:rFonts w:asciiTheme="majorEastAsia" w:hAnsiTheme="majorEastAsia" w:eastAsiaTheme="majorEastAsia"/>
          <w:sz w:val="28"/>
          <w:szCs w:val="28"/>
        </w:rPr>
      </w:pP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中共上海工商职业技术学院委员会</w:t>
      </w:r>
    </w:p>
    <w:p>
      <w:pPr>
        <w:ind w:firstLine="560" w:firstLineChars="200"/>
        <w:rPr>
          <w:sz w:val="28"/>
          <w:szCs w:val="28"/>
        </w:rPr>
      </w:pPr>
      <w:r>
        <w:rPr>
          <w:rFonts w:hint="eastAsia" w:asciiTheme="majorEastAsia" w:hAnsiTheme="majorEastAsia" w:eastAsiaTheme="majorEastAsia"/>
          <w:sz w:val="28"/>
          <w:szCs w:val="28"/>
        </w:rPr>
        <w:t xml:space="preserve">                              2017年9月26日</w:t>
      </w:r>
    </w:p>
    <w:p>
      <w:pPr>
        <w:ind w:firstLine="2000" w:firstLineChars="2000"/>
        <w:rPr>
          <w:sz w:val="10"/>
          <w:szCs w:val="10"/>
        </w:rPr>
      </w:pPr>
    </w:p>
    <w:p>
      <w:pPr>
        <w:adjustRightInd w:val="0"/>
        <w:snapToGrid w:val="0"/>
        <w:spacing w:line="520" w:lineRule="exact"/>
        <w:ind w:right="630"/>
        <w:jc w:val="right"/>
        <w:rPr>
          <w:rFonts w:cs="仿宋" w:asciiTheme="minorEastAsia" w:hAnsiTheme="minorEastAsia"/>
          <w:sz w:val="28"/>
          <w:szCs w:val="28"/>
        </w:rPr>
      </w:pPr>
      <w:r>
        <w:rPr>
          <w:rFonts w:asciiTheme="minorEastAsia" w:hAnsiTheme="minorEastAsia"/>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1905</wp:posOffset>
                </wp:positionV>
                <wp:extent cx="5539105" cy="0"/>
                <wp:effectExtent l="0" t="10795" r="4445" b="1778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539105" cy="0"/>
                        </a:xfrm>
                        <a:prstGeom prst="line">
                          <a:avLst/>
                        </a:prstGeom>
                        <a:noFill/>
                        <a:ln w="22225">
                          <a:solidFill>
                            <a:srgbClr val="000000"/>
                          </a:solidFill>
                          <a:round/>
                        </a:ln>
                        <a:effectLst/>
                      </wps:spPr>
                      <wps:bodyPr/>
                    </wps:wsp>
                  </a:graphicData>
                </a:graphic>
              </wp:anchor>
            </w:drawing>
          </mc:Choice>
          <mc:Fallback>
            <w:pict>
              <v:line id="_x0000_s1026" o:spid="_x0000_s1026" o:spt="20" style="position:absolute;left:0pt;margin-left:4.85pt;margin-top:0.15pt;height:0pt;width:436.15pt;z-index:251659264;mso-width-relative:page;mso-height-relative:page;" filled="f" stroked="t" coordsize="21600,21600" o:gfxdata="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XoS260wAAAAMB&#10;AAAPAAAAAAAAAAEAIAAAACIAAABkcnMvZG93bnJldi54bWxQSwECFAAUAAAACACHTuJAft/lD+cB&#10;AAC5AwAADgAAAAAAAAABACAAAAAiAQAAZHJzL2Uyb0RvYy54bWxQSwUGAAAAAAYABgBZAQAAewUA&#10;AAAA&#10;">
                <v:fill on="f" focussize="0,0"/>
                <v:stroke weight="1.75pt" color="#000000" joinstyle="round"/>
                <v:imagedata o:title=""/>
                <o:lock v:ext="edit" aspectratio="f"/>
              </v:line>
            </w:pict>
          </mc:Fallback>
        </mc:AlternateContent>
      </w:r>
      <w:r>
        <w:rPr>
          <w:rFonts w:asciiTheme="minorEastAsia" w:hAnsiTheme="minorEastAsia"/>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378460</wp:posOffset>
                </wp:positionV>
                <wp:extent cx="5567680" cy="9525"/>
                <wp:effectExtent l="0" t="0" r="4445"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5567680" cy="9525"/>
                        </a:xfrm>
                        <a:prstGeom prst="line">
                          <a:avLst/>
                        </a:prstGeom>
                        <a:noFill/>
                        <a:ln w="22225">
                          <a:solidFill>
                            <a:srgbClr val="000000"/>
                          </a:solidFill>
                          <a:round/>
                        </a:ln>
                        <a:effectLst/>
                      </wps:spPr>
                      <wps:bodyPr/>
                    </wps:wsp>
                  </a:graphicData>
                </a:graphic>
              </wp:anchor>
            </w:drawing>
          </mc:Choice>
          <mc:Fallback>
            <w:pict>
              <v:line id="_x0000_s1026" o:spid="_x0000_s1026" o:spt="20" style="position:absolute;left:0pt;flip:y;margin-left:2.95pt;margin-top:29.8pt;height:0.75pt;width:438.4pt;z-index:251660288;mso-width-relative:page;mso-height-relative:page;" filled="f" stroked="t" coordsize="21600,21600" o:gfxdata="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ai5lb1AAAAAcBAAAPAAAAAAAAAAEAIAAAACIAAABkcnMvZG93bnJldi54bWxQSwECFAAUAAAA&#10;CACHTuJA1VxOtfIBAADGAwAADgAAAAAAAAABACAAAAAjAQAAZHJzL2Uyb0RvYy54bWxQSwUGAAAA&#10;AAYABgBZAQAAhwUAAAAA&#10;">
                <v:fill on="f" focussize="0,0"/>
                <v:stroke weight="1.75pt" color="#000000" joinstyle="round"/>
                <v:imagedata o:title=""/>
                <o:lock v:ext="edit" aspectratio="f"/>
              </v:line>
            </w:pict>
          </mc:Fallback>
        </mc:AlternateContent>
      </w:r>
      <w:r>
        <w:rPr>
          <w:rFonts w:hint="eastAsia" w:cs="仿宋" w:asciiTheme="minorEastAsia" w:hAnsiTheme="minorEastAsia"/>
          <w:sz w:val="28"/>
          <w:szCs w:val="28"/>
        </w:rPr>
        <w:t>上海工商职业技术学院党政办公室2017年9月26日印发</w:t>
      </w:r>
    </w:p>
    <w:p>
      <w:pPr>
        <w:adjustRightInd w:val="0"/>
        <w:snapToGrid w:val="0"/>
        <w:spacing w:line="520" w:lineRule="exact"/>
        <w:ind w:right="630"/>
        <w:jc w:val="right"/>
        <w:rPr>
          <w:rFonts w:cs="仿宋" w:asciiTheme="minorEastAsia" w:hAnsiTheme="minorEastAsia"/>
          <w:sz w:val="28"/>
          <w:szCs w:val="28"/>
        </w:rPr>
      </w:pPr>
    </w:p>
    <w:p>
      <w:pPr>
        <w:adjustRightInd w:val="0"/>
        <w:snapToGrid w:val="0"/>
        <w:spacing w:line="520" w:lineRule="exact"/>
        <w:ind w:right="630"/>
        <w:jc w:val="left"/>
        <w:rPr>
          <w:rFonts w:cs="仿宋" w:asciiTheme="minorEastAsia" w:hAnsiTheme="minorEastAsia"/>
          <w:b/>
          <w:sz w:val="28"/>
          <w:szCs w:val="28"/>
        </w:rPr>
      </w:pPr>
      <w:r>
        <w:rPr>
          <w:rFonts w:hint="eastAsia" w:cs="仿宋" w:asciiTheme="minorEastAsia" w:hAnsiTheme="minorEastAsia"/>
          <w:b/>
          <w:sz w:val="28"/>
          <w:szCs w:val="28"/>
        </w:rPr>
        <w:t>附件</w:t>
      </w:r>
    </w:p>
    <w:p>
      <w:pPr>
        <w:jc w:val="center"/>
        <w:rPr>
          <w:rFonts w:ascii="华文中宋" w:hAnsi="华文中宋" w:eastAsia="华文中宋"/>
          <w:b/>
          <w:sz w:val="36"/>
          <w:szCs w:val="36"/>
        </w:rPr>
      </w:pPr>
      <w:bookmarkStart w:id="0" w:name="文件标题"/>
      <w:r>
        <w:rPr>
          <w:rFonts w:hint="eastAsia" w:ascii="华文中宋" w:hAnsi="华文中宋" w:eastAsia="华文中宋"/>
          <w:b/>
          <w:sz w:val="36"/>
          <w:szCs w:val="36"/>
        </w:rPr>
        <w:t>上海工商职业技术学院</w:t>
      </w:r>
    </w:p>
    <w:p>
      <w:pPr>
        <w:jc w:val="center"/>
        <w:rPr>
          <w:rFonts w:ascii="华文中宋" w:hAnsi="华文中宋" w:eastAsia="华文中宋"/>
          <w:b/>
          <w:sz w:val="36"/>
          <w:szCs w:val="36"/>
        </w:rPr>
      </w:pPr>
      <w:r>
        <w:rPr>
          <w:rFonts w:hint="eastAsia" w:ascii="华文中宋" w:hAnsi="华文中宋" w:eastAsia="华文中宋"/>
          <w:b/>
          <w:sz w:val="36"/>
          <w:szCs w:val="36"/>
        </w:rPr>
        <w:t>党政领导班子成员党风廉政建设</w:t>
      </w:r>
    </w:p>
    <w:p>
      <w:pPr>
        <w:jc w:val="center"/>
        <w:rPr>
          <w:rFonts w:ascii="华文中宋" w:hAnsi="华文中宋" w:eastAsia="华文中宋"/>
          <w:b/>
          <w:sz w:val="36"/>
          <w:szCs w:val="36"/>
        </w:rPr>
      </w:pPr>
      <w:r>
        <w:rPr>
          <w:rFonts w:hint="eastAsia" w:ascii="华文中宋" w:hAnsi="华文中宋" w:eastAsia="华文中宋"/>
          <w:b/>
          <w:sz w:val="36"/>
          <w:szCs w:val="36"/>
        </w:rPr>
        <w:t>和反腐败工作责任分工</w:t>
      </w:r>
      <w:bookmarkEnd w:id="0"/>
    </w:p>
    <w:p>
      <w:pPr>
        <w:spacing w:line="620" w:lineRule="exact"/>
        <w:rPr>
          <w:rFonts w:ascii="仿宋" w:hAnsi="仿宋" w:eastAsia="仿宋"/>
          <w:sz w:val="28"/>
          <w:szCs w:val="28"/>
        </w:rPr>
      </w:pPr>
      <w:bookmarkStart w:id="1" w:name="正文"/>
      <w:bookmarkEnd w:id="1"/>
      <w:bookmarkStart w:id="2" w:name="Content"/>
      <w:bookmarkEnd w:id="2"/>
    </w:p>
    <w:p>
      <w:pPr>
        <w:spacing w:line="620" w:lineRule="exact"/>
        <w:ind w:firstLine="560" w:firstLineChars="200"/>
        <w:rPr>
          <w:rFonts w:ascii="仿宋" w:hAnsi="仿宋" w:eastAsia="仿宋"/>
          <w:sz w:val="28"/>
          <w:szCs w:val="28"/>
        </w:rPr>
      </w:pPr>
      <w:r>
        <w:rPr>
          <w:rFonts w:hint="eastAsia" w:ascii="仿宋" w:hAnsi="仿宋" w:eastAsia="仿宋"/>
          <w:sz w:val="28"/>
          <w:szCs w:val="28"/>
        </w:rPr>
        <w:t>为全面贯彻落实十八大和十八届三中、四中、五中、六中全会精神,深入学习贯彻习近平同志系列重要讲话精神和治国理政新理念新思想新战略，严明党的政治纪律和政治规矩，强化党内监督，逐级落实党风廉政主体责任和监督责任，根据党风廉政建设责任制的有关规定，结合学院党政领导班子成员的分工和学校工作实际，现对上海工商职业技术学院党政领导班子成员的党风廉政建设和反腐败工作责任作如下分工：</w:t>
      </w:r>
    </w:p>
    <w:p>
      <w:pPr>
        <w:spacing w:line="620" w:lineRule="exact"/>
        <w:ind w:firstLine="562" w:firstLineChars="200"/>
        <w:rPr>
          <w:rFonts w:ascii="仿宋" w:hAnsi="仿宋" w:eastAsia="仿宋"/>
          <w:b/>
          <w:sz w:val="28"/>
          <w:szCs w:val="28"/>
        </w:rPr>
      </w:pPr>
      <w:r>
        <w:rPr>
          <w:rFonts w:hint="eastAsia" w:ascii="仿宋" w:hAnsi="仿宋" w:eastAsia="仿宋"/>
          <w:b/>
          <w:sz w:val="28"/>
          <w:szCs w:val="28"/>
        </w:rPr>
        <w:t>一、党委书记  金伟国</w:t>
      </w:r>
    </w:p>
    <w:p>
      <w:pPr>
        <w:spacing w:line="620" w:lineRule="exact"/>
        <w:ind w:firstLine="560" w:firstLineChars="200"/>
        <w:rPr>
          <w:rFonts w:ascii="仿宋" w:hAnsi="仿宋" w:eastAsia="仿宋"/>
          <w:sz w:val="28"/>
          <w:szCs w:val="28"/>
        </w:rPr>
      </w:pPr>
      <w:r>
        <w:rPr>
          <w:rFonts w:hint="eastAsia" w:ascii="仿宋" w:hAnsi="仿宋" w:eastAsia="仿宋"/>
          <w:sz w:val="28"/>
          <w:szCs w:val="28"/>
        </w:rPr>
        <w:t>切实履行学院党风廉政建设第一责任人的职责，对全院落实党风廉政建设责任制情况负总责；对党委副书记和分管的党政办公室、学生工作部（处）及其部门正职领导干部的党风廉政建设状况负领导责任。</w:t>
      </w:r>
    </w:p>
    <w:p>
      <w:pPr>
        <w:spacing w:line="620" w:lineRule="exact"/>
        <w:ind w:firstLine="560" w:firstLineChars="200"/>
        <w:rPr>
          <w:rFonts w:ascii="仿宋" w:hAnsi="仿宋" w:eastAsia="仿宋"/>
          <w:sz w:val="28"/>
          <w:szCs w:val="28"/>
        </w:rPr>
      </w:pPr>
      <w:r>
        <w:rPr>
          <w:rFonts w:hint="eastAsia" w:ascii="仿宋" w:hAnsi="仿宋" w:eastAsia="仿宋"/>
          <w:sz w:val="28"/>
          <w:szCs w:val="28"/>
        </w:rPr>
        <w:t>深入贯彻落实党风廉政建设主体责任，</w:t>
      </w:r>
      <w:r>
        <w:rPr>
          <w:rFonts w:hint="eastAsia" w:ascii="仿宋" w:hAnsi="仿宋" w:eastAsia="仿宋"/>
          <w:kern w:val="0"/>
          <w:sz w:val="28"/>
          <w:szCs w:val="28"/>
        </w:rPr>
        <w:t>及时传达上级有关党风廉政建设和反腐败工作的精神，及时研究和部署重要工作任务，</w:t>
      </w:r>
      <w:r>
        <w:rPr>
          <w:rFonts w:hint="eastAsia" w:ascii="仿宋" w:hAnsi="仿宋" w:eastAsia="仿宋"/>
          <w:sz w:val="28"/>
          <w:szCs w:val="28"/>
        </w:rPr>
        <w:t>确保全面从严治党各项要求在学院的贯彻执行，加强“四个亲自”具体措施的落实；加强党委自身建设和班子建设，检查和督促班子成员履行“一岗双责”，严明并严格执行党的各项纪律，锲而不舍落实中央八项规定精神，持之以恒纠正“四风”；推进惩治和预防腐败体系建设，制定健全完善党内监督体系和党风廉政建设制度体系。深入贯彻落实全国高校思想政治工作会议精神；践行监督执纪“四种形态”，积极落实与干部谈话谈心制度。支持纪委履行监督责任。</w:t>
      </w:r>
    </w:p>
    <w:p>
      <w:pPr>
        <w:spacing w:line="620" w:lineRule="exact"/>
        <w:ind w:firstLine="560" w:firstLineChars="200"/>
        <w:rPr>
          <w:rFonts w:ascii="仿宋" w:hAnsi="仿宋" w:eastAsia="仿宋"/>
          <w:sz w:val="28"/>
          <w:szCs w:val="28"/>
        </w:rPr>
      </w:pPr>
      <w:r>
        <w:rPr>
          <w:rFonts w:hint="eastAsia" w:ascii="仿宋" w:hAnsi="仿宋" w:eastAsia="仿宋"/>
          <w:sz w:val="28"/>
          <w:szCs w:val="28"/>
        </w:rPr>
        <w:t>强化基层党组织规范性、创新性建设，进一步加强和规范党内政治生活，不断深化党内教育、加强党员教育管理，切实提高基层党组织的战斗力和凝聚力。推进二级单位党风廉政建设责任制的落实。督促二级单位负责人牢固树立“四个意识”，强化责任担当，继续抓好作风建设。</w:t>
      </w:r>
    </w:p>
    <w:p>
      <w:pPr>
        <w:spacing w:line="620" w:lineRule="exact"/>
        <w:ind w:firstLine="560" w:firstLineChars="200"/>
        <w:rPr>
          <w:rFonts w:ascii="仿宋" w:hAnsi="仿宋" w:eastAsia="仿宋"/>
          <w:sz w:val="28"/>
          <w:szCs w:val="28"/>
        </w:rPr>
      </w:pPr>
      <w:r>
        <w:rPr>
          <w:rFonts w:hint="eastAsia" w:ascii="仿宋" w:hAnsi="仿宋" w:eastAsia="仿宋"/>
          <w:sz w:val="28"/>
          <w:szCs w:val="28"/>
        </w:rPr>
        <w:t>深入贯彻落实全国高校思想政治工作会议精神，努力践行社会主义核心价值观，全面抓好大学生思想政治教育，加强思想政治理论课课程建设，发挥好哲学社会科学育人功能；推进共青团改革，突出思想引领。</w:t>
      </w:r>
    </w:p>
    <w:p>
      <w:pPr>
        <w:spacing w:line="620" w:lineRule="exact"/>
        <w:ind w:firstLine="560" w:firstLineChars="200"/>
        <w:rPr>
          <w:rFonts w:ascii="仿宋" w:hAnsi="仿宋" w:eastAsia="仿宋"/>
          <w:sz w:val="28"/>
          <w:szCs w:val="28"/>
        </w:rPr>
      </w:pPr>
      <w:r>
        <w:rPr>
          <w:rFonts w:hint="eastAsia" w:ascii="仿宋" w:hAnsi="仿宋" w:eastAsia="仿宋"/>
          <w:sz w:val="28"/>
          <w:szCs w:val="28"/>
        </w:rPr>
        <w:t>深入贯彻落实全国高校思想政治工作会议精神，进一步加强意识形态工作，建立健全意识形态工作督查考核机制和问责制，强化校园思想文化阵地建设，加强对各级各类意识形态阵地的监督和管理；抓好反腐倡廉宣传教育和党纪党规的学习教育，推进“两学一做”学习教育常态化、制度化。</w:t>
      </w:r>
    </w:p>
    <w:p>
      <w:pPr>
        <w:spacing w:line="620" w:lineRule="exact"/>
        <w:ind w:firstLine="562" w:firstLineChars="200"/>
        <w:rPr>
          <w:rFonts w:ascii="仿宋" w:hAnsi="仿宋" w:eastAsia="仿宋"/>
          <w:b/>
          <w:sz w:val="28"/>
          <w:szCs w:val="28"/>
        </w:rPr>
      </w:pPr>
    </w:p>
    <w:p>
      <w:pPr>
        <w:spacing w:line="620" w:lineRule="exact"/>
        <w:ind w:firstLine="562" w:firstLineChars="200"/>
        <w:rPr>
          <w:rFonts w:ascii="仿宋" w:hAnsi="仿宋" w:eastAsia="仿宋"/>
          <w:b/>
          <w:sz w:val="28"/>
          <w:szCs w:val="28"/>
        </w:rPr>
      </w:pPr>
      <w:r>
        <w:rPr>
          <w:rFonts w:hint="eastAsia" w:ascii="仿宋" w:hAnsi="仿宋" w:eastAsia="仿宋"/>
          <w:b/>
          <w:sz w:val="28"/>
          <w:szCs w:val="28"/>
        </w:rPr>
        <w:t>二、党委副书记、院长  陈英南</w:t>
      </w:r>
    </w:p>
    <w:p>
      <w:pPr>
        <w:spacing w:line="620" w:lineRule="exact"/>
        <w:ind w:firstLine="560" w:firstLineChars="200"/>
        <w:rPr>
          <w:rFonts w:ascii="仿宋" w:hAnsi="仿宋" w:eastAsia="仿宋"/>
          <w:sz w:val="28"/>
          <w:szCs w:val="28"/>
        </w:rPr>
      </w:pPr>
      <w:r>
        <w:rPr>
          <w:rFonts w:hint="eastAsia" w:ascii="仿宋" w:hAnsi="仿宋" w:eastAsia="仿宋"/>
          <w:sz w:val="28"/>
          <w:szCs w:val="28"/>
        </w:rPr>
        <w:t>对学院行政部门（系统）的党风廉政建设和反腐败工作负主要领导责任，对副院长和分管的人事处、财务处、信息办、继续教育学院及其正职领导干部的党风廉政建设状况负领导责任。</w:t>
      </w:r>
    </w:p>
    <w:p>
      <w:pPr>
        <w:spacing w:line="620" w:lineRule="exact"/>
        <w:ind w:firstLine="560" w:firstLineChars="200"/>
        <w:rPr>
          <w:rFonts w:ascii="仿宋" w:hAnsi="仿宋" w:eastAsia="仿宋"/>
          <w:b/>
          <w:sz w:val="28"/>
          <w:szCs w:val="28"/>
        </w:rPr>
      </w:pPr>
      <w:r>
        <w:rPr>
          <w:rFonts w:hint="eastAsia" w:ascii="仿宋" w:hAnsi="仿宋" w:eastAsia="仿宋"/>
          <w:sz w:val="28"/>
          <w:szCs w:val="28"/>
        </w:rPr>
        <w:t xml:space="preserve">进一步强化“党政同责”、“一岗双责”，深入贯彻落实全国高校思想政治工作会议精神，全面落实党的教育方针，坚持社会主义办学方向，坚持改革创新。紧紧围绕学校“十三五”发展规划，依法依规依章程治校，提高办学效益，推进廉洁办学。加强学院制度建设，加强校园基本建设项目的预决算审计和重大财政专项资金执行情况的跟踪审计，强化审计揭示问题的整改和监督，建立健全审计结果的运用和整改落实机制。 </w:t>
      </w:r>
    </w:p>
    <w:p>
      <w:pPr>
        <w:spacing w:line="620" w:lineRule="exact"/>
        <w:ind w:firstLine="560" w:firstLineChars="200"/>
        <w:rPr>
          <w:rFonts w:ascii="仿宋" w:hAnsi="仿宋" w:eastAsia="仿宋"/>
          <w:b/>
          <w:sz w:val="28"/>
          <w:szCs w:val="28"/>
        </w:rPr>
      </w:pPr>
      <w:r>
        <w:rPr>
          <w:rFonts w:hint="eastAsia" w:ascii="仿宋" w:hAnsi="仿宋" w:eastAsia="仿宋"/>
          <w:sz w:val="28"/>
          <w:szCs w:val="28"/>
        </w:rPr>
        <w:t>坚持党管干部原则，坚持正确的选人用人导向，认真落实好干部标准，有序推进岗位聘任，强化党委及组织部门在选人用人上的领导和责任把关，防止带病提拔、违规提拔等问题。从严从实管理监督干部，健全完善干部监督管理制度机制，提高干部考核的科学性和有效性。强化基层党组织规范性、创新性建设，进一步加强和规范党内政治生活，不断深化党内教育、加强党员教育管理，切实提高基层党组织的战斗力和凝聚力。</w:t>
      </w:r>
    </w:p>
    <w:p>
      <w:pPr>
        <w:spacing w:line="620" w:lineRule="exact"/>
        <w:ind w:firstLine="560" w:firstLineChars="200"/>
        <w:rPr>
          <w:rFonts w:ascii="仿宋" w:hAnsi="仿宋" w:eastAsia="仿宋"/>
          <w:sz w:val="28"/>
          <w:szCs w:val="28"/>
        </w:rPr>
      </w:pPr>
      <w:r>
        <w:rPr>
          <w:rFonts w:hint="eastAsia" w:ascii="仿宋" w:hAnsi="仿宋" w:eastAsia="仿宋"/>
          <w:sz w:val="28"/>
          <w:szCs w:val="28"/>
        </w:rPr>
        <w:t>加强校园网络阵地管理和信息安全监管，加强网络舆情研判，净化校园网络环境。</w:t>
      </w:r>
    </w:p>
    <w:p>
      <w:pPr>
        <w:spacing w:line="620" w:lineRule="exact"/>
        <w:ind w:firstLine="560" w:firstLineChars="200"/>
        <w:rPr>
          <w:rFonts w:ascii="仿宋" w:hAnsi="仿宋" w:eastAsia="仿宋"/>
          <w:sz w:val="28"/>
          <w:szCs w:val="28"/>
        </w:rPr>
      </w:pPr>
      <w:r>
        <w:rPr>
          <w:rFonts w:hint="eastAsia" w:ascii="仿宋" w:hAnsi="仿宋" w:eastAsia="仿宋"/>
          <w:sz w:val="28"/>
          <w:szCs w:val="28"/>
        </w:rPr>
        <w:t>严格规范成人教育办学、校外设点办学等行为，杜绝乱办班、乱收费，加强毕业的管理，禁止乱发证现象。</w:t>
      </w:r>
    </w:p>
    <w:p>
      <w:pPr>
        <w:spacing w:line="620" w:lineRule="exact"/>
        <w:ind w:firstLine="560" w:firstLineChars="200"/>
        <w:rPr>
          <w:rFonts w:ascii="仿宋" w:hAnsi="仿宋" w:eastAsia="仿宋"/>
          <w:sz w:val="28"/>
          <w:szCs w:val="28"/>
        </w:rPr>
      </w:pPr>
    </w:p>
    <w:p>
      <w:pPr>
        <w:spacing w:line="620" w:lineRule="exact"/>
        <w:ind w:firstLine="562" w:firstLineChars="200"/>
        <w:rPr>
          <w:rFonts w:ascii="仿宋" w:hAnsi="仿宋" w:eastAsia="仿宋"/>
          <w:b/>
          <w:sz w:val="28"/>
          <w:szCs w:val="28"/>
        </w:rPr>
      </w:pPr>
      <w:r>
        <w:rPr>
          <w:rFonts w:hint="eastAsia" w:ascii="仿宋" w:hAnsi="仿宋" w:eastAsia="仿宋"/>
          <w:b/>
          <w:sz w:val="28"/>
          <w:szCs w:val="28"/>
        </w:rPr>
        <w:t>三、党委副书记、纪委书记   朱莉莉</w:t>
      </w:r>
    </w:p>
    <w:p>
      <w:pPr>
        <w:spacing w:line="620" w:lineRule="exact"/>
        <w:ind w:firstLine="560" w:firstLineChars="200"/>
        <w:rPr>
          <w:rFonts w:ascii="仿宋" w:hAnsi="仿宋" w:eastAsia="仿宋"/>
          <w:sz w:val="28"/>
          <w:szCs w:val="28"/>
        </w:rPr>
      </w:pPr>
      <w:r>
        <w:rPr>
          <w:rFonts w:hint="eastAsia" w:ascii="仿宋" w:hAnsi="仿宋" w:eastAsia="仿宋"/>
          <w:sz w:val="28"/>
          <w:szCs w:val="28"/>
        </w:rPr>
        <w:t>履行学院党风廉政建设监督责任第一责任人职责，对分管的纪委办公室负领导责任，对纪委工作负总责。</w:t>
      </w:r>
    </w:p>
    <w:p>
      <w:pPr>
        <w:spacing w:line="620" w:lineRule="exact"/>
        <w:ind w:firstLine="560" w:firstLineChars="200"/>
        <w:rPr>
          <w:rFonts w:ascii="仿宋" w:hAnsi="仿宋" w:eastAsia="仿宋"/>
          <w:sz w:val="28"/>
          <w:szCs w:val="28"/>
        </w:rPr>
      </w:pPr>
      <w:r>
        <w:rPr>
          <w:rFonts w:hint="eastAsia" w:ascii="仿宋" w:hAnsi="仿宋" w:eastAsia="仿宋"/>
          <w:sz w:val="28"/>
          <w:szCs w:val="28"/>
        </w:rPr>
        <w:t>协助党委抓好中央重大决策部署的贯彻落实，确保政令畅通。组织纪委加强党风廉政建设和反腐败工作形势研判和前瞻性研究，向党委提出工作意见和建议。督促党委落实党风廉政建设主体责任，协助党委抓好党风廉政建设和反腐败工作任务分解，进一步强化领导干部落实“一岗双责”意识。坚持全面从严治党，强化监督执纪问责，把严明政治纪律和政治规矩摆在首位，驰而不息纠正“四风”，继续落实对中央八项规定精神等情况的监督检查，聚焦“关键少数”，实践监督执纪“四种形态”；进一步抓好问题线索处置和执纪审查工作，重要事项及时向学院党委和上级纪委报告。不断加强对党员领导干部的党性党风党纪教育和案例警示教育，营造风清气正校园环境。深化“三转”，聚焦主责主业，加强纪委自身建设带好队伍。</w:t>
      </w:r>
    </w:p>
    <w:p>
      <w:pPr>
        <w:spacing w:line="620" w:lineRule="exact"/>
        <w:ind w:firstLine="560" w:firstLineChars="200"/>
        <w:rPr>
          <w:rFonts w:ascii="仿宋" w:hAnsi="仿宋" w:eastAsia="仿宋"/>
          <w:sz w:val="28"/>
          <w:szCs w:val="28"/>
        </w:rPr>
      </w:pPr>
      <w:r>
        <w:rPr>
          <w:rFonts w:hint="eastAsia" w:ascii="仿宋" w:hAnsi="仿宋" w:eastAsia="仿宋"/>
          <w:sz w:val="28"/>
          <w:szCs w:val="28"/>
        </w:rPr>
        <w:t xml:space="preserve">规范做好“双代会”相关工作，不断深化民主管理。 </w:t>
      </w:r>
    </w:p>
    <w:p>
      <w:pPr>
        <w:spacing w:line="620" w:lineRule="exact"/>
        <w:ind w:firstLine="560" w:firstLineChars="200"/>
        <w:rPr>
          <w:rFonts w:ascii="仿宋" w:hAnsi="仿宋" w:eastAsia="仿宋"/>
          <w:sz w:val="28"/>
          <w:szCs w:val="28"/>
        </w:rPr>
      </w:pPr>
    </w:p>
    <w:p>
      <w:pPr>
        <w:spacing w:line="620" w:lineRule="exact"/>
        <w:ind w:firstLine="562" w:firstLineChars="200"/>
        <w:rPr>
          <w:rFonts w:ascii="仿宋" w:hAnsi="仿宋" w:eastAsia="仿宋"/>
          <w:b/>
          <w:sz w:val="28"/>
          <w:szCs w:val="28"/>
        </w:rPr>
      </w:pPr>
      <w:r>
        <w:rPr>
          <w:rFonts w:hint="eastAsia" w:ascii="仿宋" w:hAnsi="仿宋" w:eastAsia="仿宋"/>
          <w:b/>
          <w:sz w:val="28"/>
          <w:szCs w:val="28"/>
        </w:rPr>
        <w:t>四、副院长  胡家秀</w:t>
      </w:r>
    </w:p>
    <w:p>
      <w:pPr>
        <w:adjustRightInd w:val="0"/>
        <w:snapToGrid w:val="0"/>
        <w:spacing w:line="620" w:lineRule="exact"/>
        <w:ind w:firstLine="560" w:firstLineChars="200"/>
        <w:rPr>
          <w:rFonts w:ascii="仿宋" w:hAnsi="仿宋" w:eastAsia="仿宋"/>
          <w:sz w:val="28"/>
          <w:szCs w:val="28"/>
        </w:rPr>
      </w:pPr>
      <w:r>
        <w:rPr>
          <w:rFonts w:hint="eastAsia" w:ascii="仿宋" w:hAnsi="仿宋" w:eastAsia="仿宋"/>
          <w:sz w:val="28"/>
          <w:szCs w:val="28"/>
        </w:rPr>
        <w:t>对分管的教务处（督导处）及其正职领导干部的党风廉政建设状况负领导责任。</w:t>
      </w:r>
    </w:p>
    <w:p>
      <w:pPr>
        <w:adjustRightInd w:val="0"/>
        <w:snapToGrid w:val="0"/>
        <w:spacing w:line="620" w:lineRule="exact"/>
        <w:ind w:firstLine="560" w:firstLineChars="200"/>
        <w:rPr>
          <w:rFonts w:ascii="仿宋" w:hAnsi="仿宋" w:eastAsia="仿宋"/>
          <w:sz w:val="28"/>
          <w:szCs w:val="28"/>
        </w:rPr>
      </w:pPr>
      <w:r>
        <w:rPr>
          <w:rFonts w:hint="eastAsia" w:ascii="仿宋" w:hAnsi="仿宋" w:eastAsia="仿宋"/>
          <w:sz w:val="28"/>
          <w:szCs w:val="28"/>
        </w:rPr>
        <w:t>着力推进学院专业和课程建设。落实思想政治理论课专职教师任职资格等制度。深入贯彻落实全国高校思想政治工作会议精神，不断提升人才培养质量。加强师德师风建设，把社会主义核心价值观作为教师崇德修身的基本遵循，引导教师遵守政治纪律、廉洁从教，提高教师规矩意识、职业道德修养和廉洁自律意识。加强对课堂、研讨会、讲座论坛、教材等意识形态阵地的监督管理，推动课程思政教学改革试点工作。</w:t>
      </w:r>
    </w:p>
    <w:p>
      <w:pPr>
        <w:adjustRightInd w:val="0"/>
        <w:snapToGrid w:val="0"/>
        <w:spacing w:line="620" w:lineRule="exact"/>
        <w:ind w:firstLine="560" w:firstLineChars="200"/>
        <w:rPr>
          <w:rFonts w:ascii="仿宋" w:hAnsi="仿宋" w:eastAsia="仿宋"/>
          <w:sz w:val="28"/>
          <w:szCs w:val="28"/>
        </w:rPr>
      </w:pPr>
      <w:r>
        <w:rPr>
          <w:rFonts w:hint="eastAsia" w:ascii="仿宋" w:hAnsi="仿宋" w:eastAsia="仿宋"/>
          <w:sz w:val="28"/>
          <w:szCs w:val="28"/>
        </w:rPr>
        <w:t>规范教材采购工作流程，加强管理。</w:t>
      </w:r>
    </w:p>
    <w:p>
      <w:pPr>
        <w:spacing w:line="620" w:lineRule="exact"/>
        <w:ind w:firstLine="562" w:firstLineChars="200"/>
        <w:rPr>
          <w:rFonts w:ascii="仿宋" w:hAnsi="仿宋" w:eastAsia="仿宋"/>
          <w:b/>
          <w:sz w:val="28"/>
          <w:szCs w:val="28"/>
        </w:rPr>
      </w:pPr>
    </w:p>
    <w:p>
      <w:pPr>
        <w:spacing w:line="620" w:lineRule="exact"/>
        <w:ind w:firstLine="562" w:firstLineChars="200"/>
        <w:rPr>
          <w:rFonts w:ascii="仿宋" w:hAnsi="仿宋" w:eastAsia="仿宋"/>
          <w:b/>
          <w:sz w:val="28"/>
          <w:szCs w:val="28"/>
        </w:rPr>
      </w:pPr>
      <w:r>
        <w:rPr>
          <w:rFonts w:hint="eastAsia" w:ascii="仿宋" w:hAnsi="仿宋" w:eastAsia="仿宋"/>
          <w:b/>
          <w:sz w:val="28"/>
          <w:szCs w:val="28"/>
        </w:rPr>
        <w:t>五、副院长  王中强</w:t>
      </w:r>
    </w:p>
    <w:p>
      <w:pPr>
        <w:spacing w:line="620" w:lineRule="exact"/>
        <w:ind w:firstLine="560" w:firstLineChars="200"/>
        <w:rPr>
          <w:rFonts w:ascii="仿宋" w:hAnsi="仿宋" w:eastAsia="仿宋"/>
          <w:b/>
          <w:sz w:val="28"/>
          <w:szCs w:val="28"/>
        </w:rPr>
      </w:pPr>
      <w:r>
        <w:rPr>
          <w:rFonts w:hint="eastAsia" w:ascii="仿宋" w:hAnsi="仿宋" w:eastAsia="仿宋"/>
          <w:sz w:val="28"/>
          <w:szCs w:val="28"/>
        </w:rPr>
        <w:t>对分管的招生就业、创新创业教育中心、后勤保卫处及其正职领导干部的党风廉政建设状况负领导责任。</w:t>
      </w:r>
    </w:p>
    <w:p>
      <w:pPr>
        <w:spacing w:line="620" w:lineRule="exact"/>
        <w:ind w:firstLine="560" w:firstLineChars="200"/>
        <w:rPr>
          <w:rFonts w:ascii="仿宋" w:hAnsi="仿宋" w:eastAsia="仿宋"/>
          <w:sz w:val="28"/>
          <w:szCs w:val="28"/>
        </w:rPr>
      </w:pPr>
      <w:r>
        <w:rPr>
          <w:rFonts w:hint="eastAsia" w:ascii="仿宋" w:hAnsi="仿宋" w:eastAsia="仿宋"/>
          <w:sz w:val="28"/>
          <w:szCs w:val="28"/>
        </w:rPr>
        <w:t>落实招生“阳光工程”，加强重点环节的监督管理。</w:t>
      </w:r>
    </w:p>
    <w:p>
      <w:pPr>
        <w:spacing w:line="620" w:lineRule="exact"/>
        <w:ind w:firstLine="560" w:firstLineChars="200"/>
        <w:rPr>
          <w:rFonts w:ascii="仿宋" w:hAnsi="仿宋" w:eastAsia="仿宋"/>
          <w:sz w:val="28"/>
          <w:szCs w:val="28"/>
        </w:rPr>
      </w:pPr>
      <w:r>
        <w:rPr>
          <w:rFonts w:hint="eastAsia" w:ascii="仿宋" w:hAnsi="仿宋" w:eastAsia="仿宋"/>
          <w:sz w:val="28"/>
          <w:szCs w:val="28"/>
        </w:rPr>
        <w:t>加强创新创业教育中心建设，深化创新创业教育改革。</w:t>
      </w:r>
    </w:p>
    <w:p>
      <w:pPr>
        <w:spacing w:line="620" w:lineRule="exact"/>
        <w:ind w:firstLine="560" w:firstLineChars="200"/>
        <w:rPr>
          <w:rFonts w:ascii="仿宋" w:hAnsi="仿宋" w:eastAsia="仿宋"/>
          <w:sz w:val="28"/>
          <w:szCs w:val="28"/>
        </w:rPr>
      </w:pPr>
      <w:r>
        <w:rPr>
          <w:rFonts w:hint="eastAsia" w:ascii="仿宋" w:hAnsi="仿宋" w:eastAsia="仿宋"/>
          <w:sz w:val="28"/>
          <w:szCs w:val="28"/>
        </w:rPr>
        <w:t>加强后勤工作的监管，推进标准化建设，提高服务质量的监管水平。牢固树立安全稳定意识，层层落实综合治理责任，建设和谐校园。规范做好校园基本建设工作，强化基建过程的廉洁自律和基建队伍的廉政建设。优化设施，着力改善办学条件。</w:t>
      </w:r>
    </w:p>
    <w:p>
      <w:pPr>
        <w:spacing w:line="620" w:lineRule="exact"/>
        <w:ind w:firstLine="562" w:firstLineChars="200"/>
        <w:rPr>
          <w:rFonts w:ascii="仿宋" w:hAnsi="仿宋" w:eastAsia="仿宋"/>
          <w:b/>
          <w:sz w:val="28"/>
          <w:szCs w:val="28"/>
        </w:rPr>
      </w:pPr>
    </w:p>
    <w:p>
      <w:pPr>
        <w:spacing w:line="620" w:lineRule="exact"/>
        <w:ind w:firstLine="562" w:firstLineChars="200"/>
        <w:rPr>
          <w:rFonts w:ascii="仿宋" w:hAnsi="仿宋" w:eastAsia="仿宋"/>
          <w:b/>
          <w:sz w:val="28"/>
          <w:szCs w:val="28"/>
        </w:rPr>
      </w:pPr>
      <w:r>
        <w:rPr>
          <w:rFonts w:hint="eastAsia" w:ascii="仿宋" w:hAnsi="仿宋" w:eastAsia="仿宋"/>
          <w:b/>
          <w:sz w:val="28"/>
          <w:szCs w:val="28"/>
        </w:rPr>
        <w:t>六、副院长  叶松</w:t>
      </w:r>
    </w:p>
    <w:p>
      <w:pPr>
        <w:spacing w:line="620" w:lineRule="exact"/>
        <w:ind w:firstLine="560" w:firstLineChars="200"/>
        <w:rPr>
          <w:rFonts w:ascii="仿宋" w:hAnsi="仿宋" w:eastAsia="仿宋"/>
          <w:sz w:val="28"/>
          <w:szCs w:val="28"/>
        </w:rPr>
      </w:pPr>
      <w:r>
        <w:rPr>
          <w:rFonts w:hint="eastAsia" w:ascii="仿宋" w:hAnsi="仿宋" w:eastAsia="仿宋"/>
          <w:sz w:val="28"/>
          <w:szCs w:val="28"/>
        </w:rPr>
        <w:t>对分管的资产设备管理处、图书馆及其正职领导干部的党风廉政建设状况负领导责任。</w:t>
      </w:r>
    </w:p>
    <w:p>
      <w:pPr>
        <w:spacing w:line="620" w:lineRule="exact"/>
        <w:ind w:firstLine="560" w:firstLineChars="200"/>
        <w:rPr>
          <w:rFonts w:ascii="仿宋" w:hAnsi="仿宋" w:eastAsia="仿宋"/>
          <w:sz w:val="28"/>
          <w:szCs w:val="28"/>
        </w:rPr>
      </w:pPr>
      <w:r>
        <w:rPr>
          <w:rFonts w:hint="eastAsia" w:ascii="仿宋" w:hAnsi="仿宋" w:eastAsia="仿宋"/>
          <w:sz w:val="28"/>
          <w:szCs w:val="28"/>
        </w:rPr>
        <w:t>加强国有资产管理，不断完善采购与招投标管理制度，规范采购和招投标工作流程；强化资产清查与不良资产处置工作。</w:t>
      </w:r>
    </w:p>
    <w:p>
      <w:pPr>
        <w:spacing w:line="620" w:lineRule="exact"/>
        <w:ind w:firstLine="560" w:firstLineChars="200"/>
        <w:rPr>
          <w:rFonts w:ascii="仿宋" w:hAnsi="仿宋" w:eastAsia="仿宋"/>
          <w:sz w:val="28"/>
          <w:szCs w:val="28"/>
        </w:rPr>
      </w:pPr>
      <w:r>
        <w:rPr>
          <w:rFonts w:hint="eastAsia" w:ascii="仿宋" w:hAnsi="仿宋" w:eastAsia="仿宋"/>
          <w:sz w:val="28"/>
          <w:szCs w:val="28"/>
        </w:rPr>
        <w:t>规范图书资料的采购工作。</w:t>
      </w:r>
    </w:p>
    <w:p>
      <w:pPr>
        <w:spacing w:line="620" w:lineRule="exact"/>
        <w:ind w:firstLine="560" w:firstLineChars="200"/>
        <w:rPr>
          <w:rFonts w:ascii="仿宋" w:hAnsi="仿宋" w:eastAsia="仿宋"/>
          <w:sz w:val="28"/>
          <w:szCs w:val="28"/>
        </w:rPr>
      </w:pPr>
      <w:r>
        <w:rPr>
          <w:rFonts w:hint="eastAsia" w:ascii="仿宋" w:hAnsi="仿宋" w:eastAsia="仿宋"/>
          <w:sz w:val="28"/>
          <w:szCs w:val="28"/>
        </w:rPr>
        <w:t>提高资产管理效率。做好仪器设备购置前期的论证工作，提高仪器设备的使用效率，不断提升资源利用效率。</w:t>
      </w:r>
    </w:p>
    <w:p>
      <w:pPr>
        <w:spacing w:line="620" w:lineRule="exact"/>
        <w:ind w:firstLine="562" w:firstLineChars="200"/>
        <w:rPr>
          <w:rFonts w:ascii="仿宋" w:hAnsi="仿宋" w:eastAsia="仿宋"/>
          <w:b/>
          <w:sz w:val="28"/>
          <w:szCs w:val="28"/>
        </w:rPr>
      </w:pPr>
    </w:p>
    <w:p>
      <w:pPr>
        <w:spacing w:line="620" w:lineRule="exact"/>
        <w:ind w:firstLine="562" w:firstLineChars="200"/>
        <w:rPr>
          <w:rFonts w:ascii="仿宋" w:hAnsi="仿宋" w:eastAsia="仿宋"/>
          <w:b/>
          <w:sz w:val="28"/>
          <w:szCs w:val="28"/>
        </w:rPr>
      </w:pPr>
      <w:r>
        <w:rPr>
          <w:rFonts w:hint="eastAsia" w:ascii="仿宋" w:hAnsi="仿宋" w:eastAsia="仿宋"/>
          <w:b/>
          <w:sz w:val="28"/>
          <w:szCs w:val="28"/>
        </w:rPr>
        <w:t>七、院长助理  张扬</w:t>
      </w:r>
    </w:p>
    <w:p>
      <w:pPr>
        <w:spacing w:line="620" w:lineRule="exact"/>
        <w:ind w:firstLine="560" w:firstLineChars="200"/>
        <w:rPr>
          <w:rFonts w:ascii="仿宋" w:hAnsi="仿宋" w:eastAsia="仿宋"/>
          <w:sz w:val="28"/>
          <w:szCs w:val="28"/>
        </w:rPr>
      </w:pPr>
      <w:r>
        <w:rPr>
          <w:rFonts w:hint="eastAsia" w:ascii="仿宋" w:hAnsi="仿宋" w:eastAsia="仿宋"/>
          <w:sz w:val="28"/>
          <w:szCs w:val="28"/>
        </w:rPr>
        <w:t>对国际合作与交流处（港澳台办公室）、对协助分管的学生工作部(处)、团委（武装部）及其正职领导干部的党风廉政建设状况负领导责任。</w:t>
      </w:r>
    </w:p>
    <w:p>
      <w:pPr>
        <w:spacing w:line="620" w:lineRule="exact"/>
        <w:ind w:firstLine="560" w:firstLineChars="200"/>
        <w:rPr>
          <w:rFonts w:ascii="仿宋" w:hAnsi="仿宋" w:eastAsia="仿宋"/>
          <w:sz w:val="28"/>
          <w:szCs w:val="28"/>
        </w:rPr>
      </w:pPr>
      <w:r>
        <w:rPr>
          <w:rFonts w:hint="eastAsia" w:ascii="仿宋" w:hAnsi="仿宋" w:eastAsia="仿宋"/>
          <w:sz w:val="28"/>
          <w:szCs w:val="28"/>
        </w:rPr>
        <w:t>继续加强因公出国（境）管理，严禁违规出国（境）行为发生，进一步规范外事经费使用，加强对出国（境）人员的纪律教育；加强和规范国际合作办学，完善教师派出制度。</w:t>
      </w:r>
    </w:p>
    <w:p>
      <w:pPr>
        <w:spacing w:line="620" w:lineRule="exact"/>
        <w:ind w:firstLine="560" w:firstLineChars="200"/>
        <w:rPr>
          <w:rFonts w:ascii="仿宋" w:hAnsi="仿宋" w:eastAsia="仿宋"/>
          <w:sz w:val="28"/>
          <w:szCs w:val="28"/>
        </w:rPr>
      </w:pPr>
      <w:r>
        <w:rPr>
          <w:rFonts w:hint="eastAsia" w:ascii="仿宋" w:hAnsi="仿宋" w:eastAsia="仿宋"/>
          <w:sz w:val="28"/>
          <w:szCs w:val="28"/>
        </w:rPr>
        <w:t xml:space="preserve">深入贯彻落实全国高校思想政治工作会议精神，努力践行社会主义核心价值观，全面抓好大学生思想政治教育，加强思想政治理论课课程建设，发挥好哲学社会科学育人功能；推进共青团改革，突出思想引领。 </w:t>
      </w:r>
    </w:p>
    <w:p>
      <w:pPr>
        <w:spacing w:line="620" w:lineRule="exact"/>
        <w:ind w:firstLine="560" w:firstLineChars="200"/>
        <w:rPr>
          <w:rFonts w:ascii="仿宋" w:hAnsi="仿宋" w:eastAsia="仿宋"/>
          <w:sz w:val="28"/>
          <w:szCs w:val="28"/>
        </w:rPr>
      </w:pPr>
    </w:p>
    <w:p>
      <w:pPr>
        <w:spacing w:line="620" w:lineRule="exact"/>
        <w:ind w:firstLine="560" w:firstLineChars="200"/>
        <w:rPr>
          <w:rFonts w:ascii="仿宋" w:hAnsi="仿宋" w:eastAsia="仿宋"/>
          <w:sz w:val="28"/>
          <w:szCs w:val="28"/>
        </w:rPr>
      </w:pPr>
      <w:r>
        <w:rPr>
          <w:rFonts w:hint="eastAsia" w:ascii="仿宋" w:hAnsi="仿宋" w:eastAsia="仿宋"/>
          <w:sz w:val="28"/>
          <w:szCs w:val="28"/>
        </w:rPr>
        <w:t>今后，学院党政领导班子成员如发生变化、职能分工出现变更等，相应党风廉政建设和反腐败工作责任范围自然调整。</w:t>
      </w:r>
    </w:p>
    <w:p>
      <w:pPr>
        <w:spacing w:line="620" w:lineRule="exact"/>
        <w:ind w:firstLine="560" w:firstLineChars="200"/>
        <w:rPr>
          <w:rFonts w:ascii="仿宋" w:hAnsi="仿宋" w:eastAsia="仿宋"/>
          <w:sz w:val="28"/>
          <w:szCs w:val="28"/>
        </w:rPr>
      </w:pPr>
    </w:p>
    <w:p>
      <w:pPr>
        <w:spacing w:line="620" w:lineRule="exact"/>
        <w:ind w:firstLine="560" w:firstLineChars="200"/>
        <w:rPr>
          <w:rFonts w:ascii="仿宋" w:hAnsi="仿宋" w:eastAsia="仿宋"/>
          <w:sz w:val="28"/>
          <w:szCs w:val="28"/>
        </w:rPr>
      </w:pPr>
    </w:p>
    <w:p>
      <w:pPr>
        <w:spacing w:line="620" w:lineRule="exact"/>
        <w:ind w:firstLine="560" w:firstLineChars="200"/>
        <w:rPr>
          <w:rFonts w:ascii="仿宋" w:hAnsi="仿宋" w:eastAsia="仿宋"/>
          <w:sz w:val="28"/>
          <w:szCs w:val="28"/>
        </w:rPr>
      </w:pPr>
      <w:r>
        <w:rPr>
          <w:rFonts w:hint="eastAsia" w:ascii="仿宋" w:hAnsi="仿宋" w:eastAsia="仿宋"/>
          <w:sz w:val="28"/>
          <w:szCs w:val="28"/>
        </w:rPr>
        <w:t xml:space="preserve">                       中共上海工商职业技术学院委员会</w:t>
      </w:r>
    </w:p>
    <w:p>
      <w:pPr>
        <w:spacing w:line="620" w:lineRule="exact"/>
        <w:ind w:firstLine="560" w:firstLineChars="200"/>
        <w:rPr>
          <w:rFonts w:ascii="仿宋" w:hAnsi="仿宋" w:eastAsia="仿宋"/>
          <w:sz w:val="28"/>
          <w:szCs w:val="28"/>
        </w:rPr>
      </w:pPr>
      <w:r>
        <w:rPr>
          <w:rFonts w:hint="eastAsia" w:ascii="仿宋" w:hAnsi="仿宋" w:eastAsia="仿宋"/>
          <w:sz w:val="28"/>
          <w:szCs w:val="28"/>
        </w:rPr>
        <w:t>2017年9月25日</w:t>
      </w:r>
    </w:p>
    <w:p>
      <w:pPr>
        <w:adjustRightInd w:val="0"/>
        <w:snapToGrid w:val="0"/>
        <w:spacing w:line="520" w:lineRule="exact"/>
        <w:ind w:right="630"/>
        <w:jc w:val="left"/>
        <w:rPr>
          <w:rFonts w:cs="仿宋" w:asciiTheme="minorEastAsia" w:hAnsiTheme="minorEastAsia"/>
          <w:b/>
          <w:sz w:val="28"/>
          <w:szCs w:val="28"/>
        </w:rPr>
      </w:pPr>
    </w:p>
    <w:sectPr>
      <w:footerReference r:id="rId3" w:type="default"/>
      <w:pgSz w:w="11906" w:h="16838"/>
      <w:pgMar w:top="1701" w:right="1508" w:bottom="1701" w:left="150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8816496"/>
      <w:docPartObj>
        <w:docPartGallery w:val="AutoText"/>
      </w:docPartObj>
    </w:sdtPr>
    <w:sdtContent>
      <w:sdt>
        <w:sdtPr>
          <w:id w:val="-1669238322"/>
          <w:docPartObj>
            <w:docPartGallery w:val="AutoText"/>
          </w:docPartObj>
        </w:sdtPr>
        <w:sdtContent>
          <w:p>
            <w:pPr>
              <w:pStyle w:val="5"/>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sdtContent>
      </w:sdt>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1DD"/>
    <w:rsid w:val="00024833"/>
    <w:rsid w:val="00042AF9"/>
    <w:rsid w:val="000A7287"/>
    <w:rsid w:val="000F10DC"/>
    <w:rsid w:val="00110368"/>
    <w:rsid w:val="0014061A"/>
    <w:rsid w:val="00141C93"/>
    <w:rsid w:val="0019511E"/>
    <w:rsid w:val="001A11F4"/>
    <w:rsid w:val="001B5D26"/>
    <w:rsid w:val="001E2D69"/>
    <w:rsid w:val="001F0536"/>
    <w:rsid w:val="001F6941"/>
    <w:rsid w:val="0023433E"/>
    <w:rsid w:val="002603B6"/>
    <w:rsid w:val="00296256"/>
    <w:rsid w:val="002C758E"/>
    <w:rsid w:val="00307368"/>
    <w:rsid w:val="003219AD"/>
    <w:rsid w:val="00341D2E"/>
    <w:rsid w:val="003733D4"/>
    <w:rsid w:val="003B2E1B"/>
    <w:rsid w:val="00466C77"/>
    <w:rsid w:val="004D645F"/>
    <w:rsid w:val="004F2773"/>
    <w:rsid w:val="0052702D"/>
    <w:rsid w:val="00530573"/>
    <w:rsid w:val="00534CD3"/>
    <w:rsid w:val="00575C89"/>
    <w:rsid w:val="00583F12"/>
    <w:rsid w:val="005C4F39"/>
    <w:rsid w:val="005D0202"/>
    <w:rsid w:val="005D5843"/>
    <w:rsid w:val="006178E4"/>
    <w:rsid w:val="00646FD4"/>
    <w:rsid w:val="00651E92"/>
    <w:rsid w:val="00654D26"/>
    <w:rsid w:val="00657606"/>
    <w:rsid w:val="00682B36"/>
    <w:rsid w:val="006C10B7"/>
    <w:rsid w:val="007261DD"/>
    <w:rsid w:val="00777F3A"/>
    <w:rsid w:val="00781133"/>
    <w:rsid w:val="007D39FD"/>
    <w:rsid w:val="007E6B63"/>
    <w:rsid w:val="007F0007"/>
    <w:rsid w:val="00880E31"/>
    <w:rsid w:val="00881EA7"/>
    <w:rsid w:val="008A7DA4"/>
    <w:rsid w:val="008D2C60"/>
    <w:rsid w:val="008F3AD3"/>
    <w:rsid w:val="00912FE5"/>
    <w:rsid w:val="00934645"/>
    <w:rsid w:val="009703A9"/>
    <w:rsid w:val="009B423B"/>
    <w:rsid w:val="009E71D6"/>
    <w:rsid w:val="00A028BF"/>
    <w:rsid w:val="00A21172"/>
    <w:rsid w:val="00A720C7"/>
    <w:rsid w:val="00A93435"/>
    <w:rsid w:val="00AA55A5"/>
    <w:rsid w:val="00AB604F"/>
    <w:rsid w:val="00AD41FB"/>
    <w:rsid w:val="00B1578C"/>
    <w:rsid w:val="00B36EE0"/>
    <w:rsid w:val="00B55AC3"/>
    <w:rsid w:val="00B95D2E"/>
    <w:rsid w:val="00C022C1"/>
    <w:rsid w:val="00C13C26"/>
    <w:rsid w:val="00C26D21"/>
    <w:rsid w:val="00C32252"/>
    <w:rsid w:val="00C35C8F"/>
    <w:rsid w:val="00C80600"/>
    <w:rsid w:val="00CA66E9"/>
    <w:rsid w:val="00CB6BA4"/>
    <w:rsid w:val="00CB6EA1"/>
    <w:rsid w:val="00CF0FD3"/>
    <w:rsid w:val="00D20B3A"/>
    <w:rsid w:val="00D30D22"/>
    <w:rsid w:val="00D40C3F"/>
    <w:rsid w:val="00D93137"/>
    <w:rsid w:val="00D96627"/>
    <w:rsid w:val="00D96EC5"/>
    <w:rsid w:val="00DF1A69"/>
    <w:rsid w:val="00EA75A5"/>
    <w:rsid w:val="00F01BC4"/>
    <w:rsid w:val="00F02274"/>
    <w:rsid w:val="00F272E4"/>
    <w:rsid w:val="00F47AD8"/>
    <w:rsid w:val="00F672B6"/>
    <w:rsid w:val="00F76924"/>
    <w:rsid w:val="47F35C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unhideWhenUsed/>
    <w:qFormat/>
    <w:uiPriority w:val="0"/>
    <w:pPr>
      <w:jc w:val="left"/>
    </w:pPr>
  </w:style>
  <w:style w:type="paragraph" w:styleId="3">
    <w:name w:val="Date"/>
    <w:basedOn w:val="1"/>
    <w:next w:val="1"/>
    <w:link w:val="11"/>
    <w:semiHidden/>
    <w:unhideWhenUsed/>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日期 Char"/>
    <w:basedOn w:val="8"/>
    <w:link w:val="3"/>
    <w:semiHidden/>
    <w:qFormat/>
    <w:uiPriority w:val="99"/>
  </w:style>
  <w:style w:type="character" w:customStyle="1" w:styleId="12">
    <w:name w:val="批注文字 Char"/>
    <w:link w:val="2"/>
    <w:qFormat/>
    <w:uiPriority w:val="0"/>
  </w:style>
  <w:style w:type="character" w:customStyle="1" w:styleId="13">
    <w:name w:val="批注文字 Char1"/>
    <w:basedOn w:val="8"/>
    <w:semiHidden/>
    <w:qFormat/>
    <w:uiPriority w:val="99"/>
  </w:style>
  <w:style w:type="character" w:customStyle="1" w:styleId="14">
    <w:name w:val="批注框文本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500</Words>
  <Characters>2850</Characters>
  <Lines>23</Lines>
  <Paragraphs>6</Paragraphs>
  <TotalTime>26</TotalTime>
  <ScaleCrop>false</ScaleCrop>
  <LinksUpToDate>false</LinksUpToDate>
  <CharactersWithSpaces>3344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2017-09-26T01:15:00Z</dcterms:created>
  <dc:creator>微软用户</dc:creator>
  <cp:lastModifiedBy>文刀木子兮</cp:lastModifiedBy>
  <cp:lastPrinted>2017-09-26T03:01:00Z</cp:lastPrinted>
  <dcterms:modified xsi:type="dcterms:W3CDTF">2023-08-04T17:16:37Z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E459070AD98C4AF29BFE2D5FB3D2465A_13</vt:lpwstr>
  </property>
</Properties>
</file>